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C7964" w14:textId="77777777" w:rsidR="00101BCD" w:rsidRPr="005971EB" w:rsidRDefault="00101BCD" w:rsidP="00101BCD">
      <w:pPr>
        <w:pStyle w:val="LegalList1"/>
        <w:numPr>
          <w:ilvl w:val="0"/>
          <w:numId w:val="0"/>
        </w:numPr>
        <w:spacing w:after="0" w:line="360" w:lineRule="auto"/>
        <w:ind w:left="567" w:hanging="567"/>
        <w:jc w:val="center"/>
        <w:rPr>
          <w:rFonts w:cs="Arial"/>
          <w:b/>
        </w:rPr>
      </w:pPr>
      <w:bookmarkStart w:id="0" w:name="_Hlk203120873"/>
      <w:r w:rsidRPr="005971EB">
        <w:rPr>
          <w:rFonts w:cs="Arial"/>
          <w:b/>
        </w:rPr>
        <w:t>IN THE HIGH COURT OF SOUTH AFRICA</w:t>
      </w:r>
    </w:p>
    <w:p w14:paraId="3619D103" w14:textId="15496052" w:rsidR="00101BCD" w:rsidRPr="005971EB" w:rsidRDefault="00101BCD" w:rsidP="00101BCD">
      <w:pPr>
        <w:pStyle w:val="LegalList1"/>
        <w:numPr>
          <w:ilvl w:val="0"/>
          <w:numId w:val="0"/>
        </w:numPr>
        <w:spacing w:after="0" w:line="360" w:lineRule="auto"/>
        <w:ind w:left="567" w:hanging="567"/>
        <w:jc w:val="center"/>
        <w:rPr>
          <w:rFonts w:cs="Arial"/>
          <w:b/>
        </w:rPr>
      </w:pPr>
      <w:r w:rsidRPr="005971EB">
        <w:rPr>
          <w:rFonts w:cs="Arial"/>
          <w:b/>
        </w:rPr>
        <w:t>(</w:t>
      </w:r>
      <w:r w:rsidR="00986C45">
        <w:rPr>
          <w:rFonts w:cs="Arial"/>
          <w:b/>
        </w:rPr>
        <w:t>WESTERN CAPE DIVISION</w:t>
      </w:r>
      <w:r w:rsidRPr="005971EB">
        <w:rPr>
          <w:rFonts w:cs="Arial"/>
          <w:b/>
        </w:rPr>
        <w:t xml:space="preserve">, </w:t>
      </w:r>
      <w:r w:rsidR="00986C45">
        <w:rPr>
          <w:rFonts w:cs="Arial"/>
          <w:b/>
        </w:rPr>
        <w:t>CAPE TOWN</w:t>
      </w:r>
      <w:r w:rsidRPr="005971EB">
        <w:rPr>
          <w:rFonts w:cs="Arial"/>
          <w:b/>
        </w:rPr>
        <w:t>)</w:t>
      </w:r>
    </w:p>
    <w:p w14:paraId="17743835" w14:textId="77777777" w:rsidR="00101BCD" w:rsidRPr="005971EB" w:rsidRDefault="00101BCD" w:rsidP="00101BCD">
      <w:pPr>
        <w:pStyle w:val="LegalList1"/>
        <w:numPr>
          <w:ilvl w:val="0"/>
          <w:numId w:val="0"/>
        </w:numPr>
        <w:spacing w:after="0" w:line="360" w:lineRule="auto"/>
        <w:ind w:left="567" w:hanging="567"/>
        <w:rPr>
          <w:rFonts w:cs="Arial"/>
          <w:b/>
        </w:rPr>
      </w:pPr>
    </w:p>
    <w:p w14:paraId="609D141B" w14:textId="4A87A798" w:rsidR="00101BCD" w:rsidRPr="005971EB" w:rsidRDefault="00101BCD" w:rsidP="00101BCD">
      <w:pPr>
        <w:pStyle w:val="LegalLitPartyName"/>
        <w:spacing w:after="0" w:line="360" w:lineRule="auto"/>
        <w:jc w:val="center"/>
        <w:rPr>
          <w:rFonts w:cs="Arial"/>
        </w:rPr>
      </w:pPr>
      <w:r w:rsidRPr="7B45D0A2">
        <w:rPr>
          <w:rFonts w:cs="Arial"/>
        </w:rPr>
        <w:t xml:space="preserve">                                                                                        CASE NO.:</w:t>
      </w:r>
      <w:r w:rsidR="314B0C24" w:rsidRPr="7B45D0A2">
        <w:rPr>
          <w:rFonts w:cs="Arial"/>
        </w:rPr>
        <w:t xml:space="preserve">2024/143265_ </w:t>
      </w:r>
    </w:p>
    <w:p w14:paraId="05193B42" w14:textId="77777777" w:rsidR="00101BCD" w:rsidRPr="005971EB" w:rsidRDefault="00101BCD" w:rsidP="00101BCD">
      <w:pPr>
        <w:spacing w:after="0" w:line="360" w:lineRule="auto"/>
        <w:rPr>
          <w:rFonts w:cs="Arial"/>
        </w:rPr>
      </w:pPr>
    </w:p>
    <w:p w14:paraId="06A3EFF8" w14:textId="77777777" w:rsidR="00986C45" w:rsidRDefault="00101BCD" w:rsidP="00101BCD">
      <w:pPr>
        <w:pStyle w:val="LegalList1"/>
        <w:numPr>
          <w:ilvl w:val="0"/>
          <w:numId w:val="0"/>
        </w:numPr>
        <w:spacing w:after="0" w:line="360" w:lineRule="auto"/>
        <w:ind w:left="567" w:hanging="567"/>
        <w:rPr>
          <w:rFonts w:cs="Arial"/>
        </w:rPr>
      </w:pPr>
      <w:r w:rsidRPr="7B45D0A2">
        <w:rPr>
          <w:rFonts w:cs="Arial"/>
        </w:rPr>
        <w:t xml:space="preserve">In the </w:t>
      </w:r>
      <w:r w:rsidR="00986C45" w:rsidRPr="7B45D0A2">
        <w:rPr>
          <w:rFonts w:cs="Arial"/>
        </w:rPr>
        <w:t xml:space="preserve">application for admission as </w:t>
      </w:r>
      <w:r w:rsidR="00986C45" w:rsidRPr="7B45D0A2">
        <w:rPr>
          <w:rFonts w:cs="Arial"/>
          <w:i/>
          <w:iCs/>
        </w:rPr>
        <w:t>amicus curiae</w:t>
      </w:r>
      <w:r w:rsidR="00986C45" w:rsidRPr="7B45D0A2">
        <w:rPr>
          <w:rFonts w:cs="Arial"/>
        </w:rPr>
        <w:t xml:space="preserve"> </w:t>
      </w:r>
    </w:p>
    <w:p w14:paraId="74BE659C" w14:textId="77777777" w:rsidR="00986C45" w:rsidRDefault="00986C45" w:rsidP="00101BCD">
      <w:pPr>
        <w:pStyle w:val="LegalList1"/>
        <w:numPr>
          <w:ilvl w:val="0"/>
          <w:numId w:val="0"/>
        </w:numPr>
        <w:spacing w:after="0" w:line="360" w:lineRule="auto"/>
        <w:ind w:left="567" w:hanging="567"/>
        <w:rPr>
          <w:rFonts w:cs="Arial"/>
        </w:rPr>
      </w:pPr>
    </w:p>
    <w:p w14:paraId="40D22B9C" w14:textId="77777777" w:rsidR="00986C45" w:rsidRDefault="00986C45" w:rsidP="00101BCD">
      <w:pPr>
        <w:pStyle w:val="LegalList1"/>
        <w:numPr>
          <w:ilvl w:val="0"/>
          <w:numId w:val="0"/>
        </w:numPr>
        <w:spacing w:after="0" w:line="360" w:lineRule="auto"/>
        <w:ind w:left="567" w:hanging="567"/>
        <w:rPr>
          <w:rFonts w:cs="Arial"/>
          <w:b/>
        </w:rPr>
      </w:pPr>
    </w:p>
    <w:p w14:paraId="7B74D152" w14:textId="10164142" w:rsidR="00986C45" w:rsidRDefault="00986C45" w:rsidP="00101BCD">
      <w:pPr>
        <w:pStyle w:val="LegalList1"/>
        <w:numPr>
          <w:ilvl w:val="0"/>
          <w:numId w:val="0"/>
        </w:numPr>
        <w:spacing w:after="0" w:line="360" w:lineRule="auto"/>
        <w:ind w:left="567" w:hanging="567"/>
        <w:rPr>
          <w:rFonts w:cs="Arial"/>
        </w:rPr>
      </w:pPr>
      <w:r w:rsidRPr="00986C45">
        <w:rPr>
          <w:rFonts w:cs="Arial"/>
          <w:b/>
        </w:rPr>
        <w:t>CENTRE FOR APPLIED LEGAL STUDIES</w:t>
      </w:r>
      <w:r>
        <w:rPr>
          <w:rFonts w:cs="Arial"/>
          <w:bCs/>
        </w:rPr>
        <w:tab/>
      </w:r>
      <w:r>
        <w:rPr>
          <w:rFonts w:cs="Arial"/>
          <w:bCs/>
        </w:rPr>
        <w:tab/>
      </w:r>
      <w:r>
        <w:rPr>
          <w:rFonts w:cs="Arial"/>
          <w:bCs/>
        </w:rPr>
        <w:tab/>
      </w:r>
      <w:r>
        <w:rPr>
          <w:rFonts w:cs="Arial"/>
          <w:bCs/>
        </w:rPr>
        <w:tab/>
        <w:t xml:space="preserve">       Applicant</w:t>
      </w:r>
    </w:p>
    <w:p w14:paraId="2888CBD9" w14:textId="77777777" w:rsidR="00986C45" w:rsidRDefault="00986C45" w:rsidP="00101BCD">
      <w:pPr>
        <w:pStyle w:val="LegalList1"/>
        <w:numPr>
          <w:ilvl w:val="0"/>
          <w:numId w:val="0"/>
        </w:numPr>
        <w:spacing w:after="0" w:line="360" w:lineRule="auto"/>
        <w:ind w:left="567" w:hanging="567"/>
        <w:rPr>
          <w:rFonts w:cs="Arial"/>
        </w:rPr>
      </w:pPr>
    </w:p>
    <w:p w14:paraId="25F7020C" w14:textId="77777777" w:rsidR="00986C45" w:rsidRDefault="00986C45" w:rsidP="00101BCD">
      <w:pPr>
        <w:pStyle w:val="LegalList1"/>
        <w:numPr>
          <w:ilvl w:val="0"/>
          <w:numId w:val="0"/>
        </w:numPr>
        <w:spacing w:after="0" w:line="360" w:lineRule="auto"/>
        <w:ind w:left="567" w:hanging="567"/>
        <w:rPr>
          <w:rFonts w:cs="Arial"/>
        </w:rPr>
      </w:pPr>
    </w:p>
    <w:p w14:paraId="34031896" w14:textId="6B1B1EF9" w:rsidR="00101BCD" w:rsidRPr="005971EB" w:rsidRDefault="00986C45" w:rsidP="00101BCD">
      <w:pPr>
        <w:pStyle w:val="LegalList1"/>
        <w:numPr>
          <w:ilvl w:val="0"/>
          <w:numId w:val="0"/>
        </w:numPr>
        <w:spacing w:after="0" w:line="360" w:lineRule="auto"/>
        <w:ind w:left="567" w:hanging="567"/>
        <w:rPr>
          <w:rFonts w:cs="Arial"/>
        </w:rPr>
      </w:pPr>
      <w:r>
        <w:rPr>
          <w:rFonts w:cs="Arial"/>
        </w:rPr>
        <w:t xml:space="preserve">In the </w:t>
      </w:r>
      <w:r w:rsidR="00101BCD" w:rsidRPr="005971EB">
        <w:rPr>
          <w:rFonts w:cs="Arial"/>
        </w:rPr>
        <w:t>matter between:</w:t>
      </w:r>
    </w:p>
    <w:p w14:paraId="75D30283" w14:textId="77777777" w:rsidR="00101BCD" w:rsidRPr="005971EB" w:rsidRDefault="00101BCD" w:rsidP="00101BCD">
      <w:pPr>
        <w:pStyle w:val="LegalList1"/>
        <w:numPr>
          <w:ilvl w:val="0"/>
          <w:numId w:val="0"/>
        </w:numPr>
        <w:spacing w:after="0" w:line="360" w:lineRule="auto"/>
        <w:ind w:left="567" w:hanging="567"/>
        <w:rPr>
          <w:rFonts w:cs="Arial"/>
        </w:rPr>
      </w:pPr>
    </w:p>
    <w:p w14:paraId="3B145B7E" w14:textId="77777777" w:rsidR="00101BCD" w:rsidRPr="005971EB" w:rsidRDefault="00101BCD" w:rsidP="00101BCD">
      <w:pPr>
        <w:pStyle w:val="Default"/>
        <w:spacing w:line="360" w:lineRule="auto"/>
      </w:pPr>
    </w:p>
    <w:p w14:paraId="1706CD03" w14:textId="1D141CD7" w:rsidR="00101BCD" w:rsidRDefault="00986C45" w:rsidP="00101BCD">
      <w:pPr>
        <w:pStyle w:val="LegalLitPartyName"/>
        <w:spacing w:after="0" w:line="360" w:lineRule="auto"/>
        <w:rPr>
          <w:rFonts w:cs="Arial"/>
          <w:b w:val="0"/>
        </w:rPr>
      </w:pPr>
      <w:r>
        <w:rPr>
          <w:rFonts w:cs="Arial"/>
          <w:bCs/>
        </w:rPr>
        <w:t>NELSON MA</w:t>
      </w:r>
      <w:r w:rsidR="00C73E9F">
        <w:rPr>
          <w:rFonts w:cs="Arial"/>
          <w:bCs/>
        </w:rPr>
        <w:t>N</w:t>
      </w:r>
      <w:r>
        <w:rPr>
          <w:rFonts w:cs="Arial"/>
          <w:bCs/>
        </w:rPr>
        <w:t xml:space="preserve">DELA FOUNDATION TRUST </w:t>
      </w:r>
      <w:r w:rsidR="00101BCD" w:rsidRPr="005971EB">
        <w:rPr>
          <w:rFonts w:cs="Arial"/>
        </w:rPr>
        <w:tab/>
      </w:r>
      <w:r w:rsidR="00101BCD" w:rsidRPr="005971EB">
        <w:rPr>
          <w:rFonts w:cs="Arial"/>
          <w:b w:val="0"/>
        </w:rPr>
        <w:t>Applicant</w:t>
      </w:r>
    </w:p>
    <w:p w14:paraId="7AF3B691" w14:textId="77777777" w:rsidR="00195B18" w:rsidRDefault="00195B18" w:rsidP="00101BCD">
      <w:pPr>
        <w:pStyle w:val="LegalList1"/>
        <w:numPr>
          <w:ilvl w:val="0"/>
          <w:numId w:val="0"/>
        </w:numPr>
        <w:spacing w:after="0" w:line="360" w:lineRule="auto"/>
        <w:ind w:left="567" w:hanging="567"/>
        <w:rPr>
          <w:rFonts w:cs="Arial"/>
        </w:rPr>
      </w:pPr>
    </w:p>
    <w:p w14:paraId="72AFC7A4" w14:textId="77777777" w:rsidR="00101BCD" w:rsidRPr="005971EB" w:rsidRDefault="00101BCD" w:rsidP="00101BCD">
      <w:pPr>
        <w:pStyle w:val="LegalList1"/>
        <w:numPr>
          <w:ilvl w:val="0"/>
          <w:numId w:val="0"/>
        </w:numPr>
        <w:spacing w:after="0" w:line="360" w:lineRule="auto"/>
        <w:ind w:left="567" w:hanging="567"/>
        <w:rPr>
          <w:rFonts w:cs="Arial"/>
        </w:rPr>
      </w:pPr>
      <w:r w:rsidRPr="005971EB">
        <w:rPr>
          <w:rFonts w:cs="Arial"/>
        </w:rPr>
        <w:t>and</w:t>
      </w:r>
    </w:p>
    <w:p w14:paraId="5C8ADF3B" w14:textId="77777777" w:rsidR="00101BCD" w:rsidRPr="005971EB" w:rsidRDefault="00101BCD" w:rsidP="00101BCD">
      <w:pPr>
        <w:pStyle w:val="Default"/>
        <w:spacing w:line="360" w:lineRule="auto"/>
      </w:pPr>
    </w:p>
    <w:p w14:paraId="56A2AFA0" w14:textId="01AA1B9D" w:rsidR="00101BCD" w:rsidRDefault="0021065B" w:rsidP="00101BCD">
      <w:pPr>
        <w:pStyle w:val="LegalLitPartyName"/>
        <w:spacing w:after="0" w:line="360" w:lineRule="auto"/>
        <w:rPr>
          <w:rFonts w:cs="Arial"/>
          <w:b w:val="0"/>
          <w:bCs/>
        </w:rPr>
      </w:pPr>
      <w:r>
        <w:rPr>
          <w:rFonts w:cs="Arial"/>
          <w:bCs/>
        </w:rPr>
        <w:t xml:space="preserve">SPEAKER OF THE NATIONAL ASSEMBLY </w:t>
      </w:r>
      <w:r w:rsidR="00101BCD" w:rsidRPr="005971EB">
        <w:rPr>
          <w:rFonts w:cs="Arial"/>
          <w:bCs/>
        </w:rPr>
        <w:tab/>
      </w:r>
      <w:r w:rsidR="00986C45">
        <w:rPr>
          <w:rFonts w:cs="Arial"/>
          <w:b w:val="0"/>
          <w:bCs/>
        </w:rPr>
        <w:t>First R</w:t>
      </w:r>
      <w:r w:rsidR="00101BCD" w:rsidRPr="005971EB">
        <w:rPr>
          <w:rFonts w:cs="Arial"/>
          <w:b w:val="0"/>
          <w:bCs/>
        </w:rPr>
        <w:t>espondent</w:t>
      </w:r>
    </w:p>
    <w:p w14:paraId="3A387B1F" w14:textId="77777777" w:rsidR="00101BCD" w:rsidRPr="005971EB" w:rsidRDefault="00101BCD" w:rsidP="00101BCD">
      <w:pPr>
        <w:pStyle w:val="LegalLitPartyName"/>
        <w:spacing w:after="0" w:line="360" w:lineRule="auto"/>
        <w:rPr>
          <w:rFonts w:cs="Arial"/>
        </w:rPr>
      </w:pPr>
      <w:r>
        <w:rPr>
          <w:rFonts w:cs="Arial"/>
          <w:b w:val="0"/>
        </w:rPr>
        <w:tab/>
      </w:r>
    </w:p>
    <w:p w14:paraId="1275C821" w14:textId="250F0132" w:rsidR="0021065B" w:rsidRDefault="0021065B" w:rsidP="00101BCD">
      <w:pPr>
        <w:spacing w:after="0" w:line="360" w:lineRule="auto"/>
        <w:rPr>
          <w:rFonts w:cs="Arial"/>
          <w:b/>
        </w:rPr>
      </w:pPr>
      <w:r>
        <w:rPr>
          <w:rFonts w:cs="Arial"/>
          <w:b/>
        </w:rPr>
        <w:t>CHAIRPERSON OF THE NATIONAL COUNCIL</w:t>
      </w:r>
    </w:p>
    <w:p w14:paraId="23D8209E" w14:textId="2901EC24" w:rsidR="00101BCD" w:rsidRDefault="0021065B" w:rsidP="00101BCD">
      <w:pPr>
        <w:spacing w:after="0" w:line="360" w:lineRule="auto"/>
        <w:rPr>
          <w:rFonts w:cs="Arial"/>
          <w:bCs/>
        </w:rPr>
      </w:pPr>
      <w:r>
        <w:rPr>
          <w:rFonts w:cs="Arial"/>
          <w:b/>
        </w:rPr>
        <w:t xml:space="preserve">OF PROVINCES </w:t>
      </w:r>
      <w:r w:rsidR="00986C45">
        <w:rPr>
          <w:rFonts w:cs="Arial"/>
          <w:b/>
        </w:rPr>
        <w:tab/>
        <w:t xml:space="preserve">         </w:t>
      </w:r>
      <w:r w:rsidR="00C73E9F">
        <w:rPr>
          <w:rFonts w:cs="Arial"/>
          <w:b/>
        </w:rPr>
        <w:tab/>
        <w:t xml:space="preserve">         </w:t>
      </w:r>
      <w:r>
        <w:rPr>
          <w:rFonts w:cs="Arial"/>
          <w:b/>
        </w:rPr>
        <w:tab/>
      </w:r>
      <w:r>
        <w:rPr>
          <w:rFonts w:cs="Arial"/>
          <w:b/>
        </w:rPr>
        <w:tab/>
      </w:r>
      <w:r>
        <w:rPr>
          <w:rFonts w:cs="Arial"/>
          <w:b/>
        </w:rPr>
        <w:tab/>
      </w:r>
      <w:r>
        <w:rPr>
          <w:rFonts w:cs="Arial"/>
          <w:b/>
        </w:rPr>
        <w:tab/>
        <w:t xml:space="preserve">         </w:t>
      </w:r>
      <w:r w:rsidR="00986C45" w:rsidRPr="00986C45">
        <w:rPr>
          <w:rFonts w:cs="Arial"/>
          <w:bCs/>
        </w:rPr>
        <w:t>Second Respondent</w:t>
      </w:r>
    </w:p>
    <w:p w14:paraId="15045667" w14:textId="77777777" w:rsidR="00986C45" w:rsidRDefault="00986C45" w:rsidP="00101BCD">
      <w:pPr>
        <w:spacing w:after="0" w:line="360" w:lineRule="auto"/>
        <w:rPr>
          <w:rFonts w:cs="Arial"/>
          <w:bCs/>
        </w:rPr>
      </w:pPr>
    </w:p>
    <w:p w14:paraId="6795ABE9" w14:textId="77777777" w:rsidR="0021065B" w:rsidRDefault="0021065B" w:rsidP="00101BCD">
      <w:pPr>
        <w:spacing w:after="0" w:line="360" w:lineRule="auto"/>
        <w:rPr>
          <w:rFonts w:cs="Arial"/>
          <w:b/>
        </w:rPr>
      </w:pPr>
      <w:r>
        <w:rPr>
          <w:rFonts w:cs="Arial"/>
          <w:b/>
        </w:rPr>
        <w:t xml:space="preserve">PRESIDENT OF THE REPUBLIC OF </w:t>
      </w:r>
    </w:p>
    <w:p w14:paraId="6EB6E682" w14:textId="42D7B05D" w:rsidR="00986C45" w:rsidRDefault="0021065B" w:rsidP="00101BCD">
      <w:pPr>
        <w:spacing w:after="0" w:line="360" w:lineRule="auto"/>
        <w:rPr>
          <w:rFonts w:cs="Arial"/>
          <w:b/>
        </w:rPr>
      </w:pPr>
      <w:r>
        <w:rPr>
          <w:rFonts w:cs="Arial"/>
          <w:b/>
        </w:rPr>
        <w:t>SOUTH AFRICA</w:t>
      </w:r>
      <w:r w:rsidR="00986C45" w:rsidRPr="00986C45">
        <w:rPr>
          <w:rFonts w:cs="Arial"/>
          <w:b/>
        </w:rPr>
        <w:t xml:space="preserve"> </w:t>
      </w:r>
      <w:r w:rsidR="00986C45">
        <w:rPr>
          <w:rFonts w:cs="Arial"/>
          <w:b/>
        </w:rPr>
        <w:t xml:space="preserve">                 </w:t>
      </w:r>
      <w:r w:rsidR="00C73E9F">
        <w:rPr>
          <w:rFonts w:cs="Arial"/>
          <w:b/>
        </w:rPr>
        <w:t xml:space="preserve">    </w:t>
      </w:r>
      <w:r>
        <w:rPr>
          <w:rFonts w:cs="Arial"/>
          <w:b/>
        </w:rPr>
        <w:tab/>
      </w:r>
      <w:r>
        <w:rPr>
          <w:rFonts w:cs="Arial"/>
          <w:b/>
        </w:rPr>
        <w:tab/>
      </w:r>
      <w:r>
        <w:rPr>
          <w:rFonts w:cs="Arial"/>
          <w:b/>
        </w:rPr>
        <w:tab/>
      </w:r>
      <w:r>
        <w:rPr>
          <w:rFonts w:cs="Arial"/>
          <w:b/>
        </w:rPr>
        <w:tab/>
      </w:r>
      <w:r>
        <w:rPr>
          <w:rFonts w:cs="Arial"/>
          <w:b/>
        </w:rPr>
        <w:tab/>
        <w:t xml:space="preserve">   </w:t>
      </w:r>
      <w:r w:rsidR="00986C45" w:rsidRPr="00986C45">
        <w:rPr>
          <w:rFonts w:cs="Arial"/>
          <w:bCs/>
        </w:rPr>
        <w:t>Third Respondent</w:t>
      </w:r>
      <w:r w:rsidR="00986C45">
        <w:rPr>
          <w:rFonts w:cs="Arial"/>
          <w:b/>
        </w:rPr>
        <w:t xml:space="preserve"> </w:t>
      </w:r>
    </w:p>
    <w:p w14:paraId="7695EB64" w14:textId="77777777" w:rsidR="00986C45" w:rsidRDefault="00986C45" w:rsidP="00101BCD">
      <w:pPr>
        <w:spacing w:after="0" w:line="360" w:lineRule="auto"/>
        <w:rPr>
          <w:rFonts w:cs="Arial"/>
          <w:b/>
        </w:rPr>
      </w:pPr>
    </w:p>
    <w:p w14:paraId="52D42BB7" w14:textId="0A88CCAE" w:rsidR="00986C45" w:rsidRPr="00986C45" w:rsidRDefault="00986C45" w:rsidP="00101BCD">
      <w:pPr>
        <w:spacing w:after="0" w:line="360" w:lineRule="auto"/>
        <w:rPr>
          <w:rFonts w:cs="Arial"/>
          <w:bCs/>
        </w:rPr>
      </w:pPr>
      <w:r>
        <w:rPr>
          <w:rFonts w:cs="Arial"/>
          <w:b/>
        </w:rPr>
        <w:t xml:space="preserve">MINISTER OF AGRICULTURE, LAND REFORM           </w:t>
      </w:r>
      <w:r w:rsidR="00C73E9F">
        <w:rPr>
          <w:rFonts w:cs="Arial"/>
          <w:b/>
        </w:rPr>
        <w:t xml:space="preserve">          </w:t>
      </w:r>
      <w:r w:rsidRPr="00986C45">
        <w:rPr>
          <w:rFonts w:cs="Arial"/>
          <w:bCs/>
        </w:rPr>
        <w:t>Fourth Respondent</w:t>
      </w:r>
    </w:p>
    <w:p w14:paraId="51DBF22E" w14:textId="133ED3FE" w:rsidR="00986C45" w:rsidRDefault="00986C45" w:rsidP="00101BCD">
      <w:pPr>
        <w:spacing w:after="0" w:line="360" w:lineRule="auto"/>
        <w:rPr>
          <w:rFonts w:cs="Arial"/>
          <w:b/>
        </w:rPr>
      </w:pPr>
      <w:r>
        <w:rPr>
          <w:rFonts w:cs="Arial"/>
          <w:b/>
        </w:rPr>
        <w:t xml:space="preserve">AND RURAL DEVELOPMENT </w:t>
      </w:r>
    </w:p>
    <w:bookmarkEnd w:id="0"/>
    <w:p w14:paraId="6D17BA64" w14:textId="77777777" w:rsidR="00986C45" w:rsidRPr="00B35FD4" w:rsidRDefault="00986C45" w:rsidP="00101BCD">
      <w:pPr>
        <w:spacing w:after="0" w:line="360" w:lineRule="auto"/>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70"/>
      </w:tblGrid>
      <w:tr w:rsidR="00101BCD" w:rsidRPr="00F92400" w14:paraId="7586F981" w14:textId="77777777" w:rsidTr="00517EC5">
        <w:tc>
          <w:tcPr>
            <w:tcW w:w="8811" w:type="dxa"/>
            <w:tcBorders>
              <w:top w:val="single" w:sz="4" w:space="0" w:color="auto"/>
              <w:left w:val="nil"/>
              <w:bottom w:val="single" w:sz="4" w:space="0" w:color="auto"/>
              <w:right w:val="nil"/>
            </w:tcBorders>
          </w:tcPr>
          <w:p w14:paraId="35680466" w14:textId="77777777" w:rsidR="00101BCD" w:rsidRDefault="00101BCD" w:rsidP="00101BCD">
            <w:pPr>
              <w:spacing w:after="0" w:line="360" w:lineRule="auto"/>
              <w:jc w:val="center"/>
              <w:rPr>
                <w:rFonts w:cs="Arial"/>
                <w:b/>
              </w:rPr>
            </w:pPr>
          </w:p>
          <w:p w14:paraId="727D7CF7" w14:textId="7EE24277" w:rsidR="00101BCD" w:rsidRDefault="00FC7B49" w:rsidP="00101BCD">
            <w:pPr>
              <w:spacing w:after="0" w:line="360" w:lineRule="auto"/>
              <w:jc w:val="center"/>
              <w:rPr>
                <w:rFonts w:cs="Arial"/>
                <w:b/>
              </w:rPr>
            </w:pPr>
            <w:r>
              <w:rPr>
                <w:rFonts w:cs="Arial"/>
                <w:b/>
              </w:rPr>
              <w:t>FOUNDING AFFIDAVIT</w:t>
            </w:r>
            <w:r w:rsidR="0021065B">
              <w:rPr>
                <w:rFonts w:cs="Arial"/>
                <w:b/>
              </w:rPr>
              <w:t xml:space="preserve"> (</w:t>
            </w:r>
            <w:r w:rsidR="0021065B" w:rsidRPr="0021065B">
              <w:rPr>
                <w:rFonts w:cs="Arial"/>
                <w:b/>
                <w:i/>
                <w:iCs/>
              </w:rPr>
              <w:t>AMICUS</w:t>
            </w:r>
            <w:r w:rsidR="0021065B">
              <w:rPr>
                <w:rFonts w:cs="Arial"/>
                <w:b/>
              </w:rPr>
              <w:t xml:space="preserve"> APPLICATION)</w:t>
            </w:r>
          </w:p>
          <w:p w14:paraId="53300D9C" w14:textId="77777777" w:rsidR="00101BCD" w:rsidRPr="00F92400" w:rsidRDefault="00101BCD" w:rsidP="00C17C33">
            <w:pPr>
              <w:spacing w:after="0" w:line="360" w:lineRule="auto"/>
              <w:rPr>
                <w:rFonts w:cs="Arial"/>
                <w:b/>
                <w:szCs w:val="22"/>
              </w:rPr>
            </w:pPr>
          </w:p>
        </w:tc>
      </w:tr>
    </w:tbl>
    <w:p w14:paraId="561EAFEA" w14:textId="77777777" w:rsidR="00101BCD" w:rsidRDefault="00101BCD" w:rsidP="00101BCD">
      <w:pPr>
        <w:spacing w:after="0" w:line="360" w:lineRule="auto"/>
        <w:rPr>
          <w:rFonts w:cs="Arial"/>
          <w:szCs w:val="22"/>
        </w:rPr>
      </w:pPr>
    </w:p>
    <w:p w14:paraId="724F8D21" w14:textId="77777777" w:rsidR="00101BCD" w:rsidRPr="002072EC" w:rsidRDefault="00101BCD" w:rsidP="00804F56">
      <w:pPr>
        <w:pStyle w:val="ListLevel1"/>
        <w:numPr>
          <w:ilvl w:val="0"/>
          <w:numId w:val="0"/>
        </w:numPr>
        <w:ind w:left="851"/>
      </w:pPr>
      <w:r w:rsidRPr="002072EC">
        <w:t>I, the undersigned,</w:t>
      </w:r>
    </w:p>
    <w:p w14:paraId="70E6251E" w14:textId="7A0CDA66" w:rsidR="00101BCD" w:rsidRPr="00C17C33" w:rsidRDefault="00FC7B49" w:rsidP="00804F56">
      <w:pPr>
        <w:pStyle w:val="ListLevel1"/>
        <w:numPr>
          <w:ilvl w:val="0"/>
          <w:numId w:val="0"/>
        </w:numPr>
        <w:ind w:left="851"/>
      </w:pPr>
      <w:r w:rsidRPr="00C17C33">
        <w:t>CHRISTOPHER GEVERS</w:t>
      </w:r>
    </w:p>
    <w:p w14:paraId="482AF319" w14:textId="19A157CC" w:rsidR="00101BCD" w:rsidRPr="002072EC" w:rsidRDefault="00101BCD" w:rsidP="00804F56">
      <w:pPr>
        <w:pStyle w:val="ListLevel1"/>
        <w:numPr>
          <w:ilvl w:val="0"/>
          <w:numId w:val="0"/>
        </w:numPr>
        <w:ind w:left="851"/>
      </w:pPr>
      <w:r w:rsidRPr="002072EC">
        <w:t xml:space="preserve">do hereby make </w:t>
      </w:r>
      <w:r w:rsidR="00804F56">
        <w:t xml:space="preserve">an </w:t>
      </w:r>
      <w:r w:rsidRPr="002072EC">
        <w:t>oath and say that:</w:t>
      </w:r>
    </w:p>
    <w:p w14:paraId="5DF13C93" w14:textId="17EC8AB5" w:rsidR="00756CB3" w:rsidRPr="002072EC" w:rsidRDefault="00101BCD" w:rsidP="00804F56">
      <w:pPr>
        <w:pStyle w:val="ListLevel1"/>
      </w:pPr>
      <w:r w:rsidRPr="002072EC">
        <w:t xml:space="preserve">I am </w:t>
      </w:r>
      <w:r w:rsidR="009A759E" w:rsidRPr="002072EC">
        <w:t xml:space="preserve">the </w:t>
      </w:r>
      <w:r w:rsidR="00FC7B49" w:rsidRPr="002072EC">
        <w:t>Director of the Centre for Applied Legal Studies (</w:t>
      </w:r>
      <w:r w:rsidR="000A2BCB">
        <w:t>“</w:t>
      </w:r>
      <w:r w:rsidR="00FC7B49" w:rsidRPr="00C17C33">
        <w:rPr>
          <w:b/>
          <w:bCs/>
        </w:rPr>
        <w:t>CALS</w:t>
      </w:r>
      <w:r w:rsidR="000A2BCB">
        <w:t>”</w:t>
      </w:r>
      <w:r w:rsidR="00FC7B49" w:rsidRPr="002072EC">
        <w:t xml:space="preserve">) based at the School of Law, University of the Witwatersrand, Johannesburg. </w:t>
      </w:r>
    </w:p>
    <w:p w14:paraId="32BCE205" w14:textId="481AD10B" w:rsidR="00101BCD" w:rsidRPr="002072EC" w:rsidRDefault="00FC7B49" w:rsidP="00804F56">
      <w:pPr>
        <w:pStyle w:val="ListLevel1"/>
      </w:pPr>
      <w:r w:rsidRPr="002072EC">
        <w:t xml:space="preserve">I am duly authorised to depose to this affidavit on behalf of CALS and to bring this application for admission as </w:t>
      </w:r>
      <w:r w:rsidRPr="002826FE">
        <w:rPr>
          <w:i/>
          <w:iCs/>
        </w:rPr>
        <w:t>amicus curiae</w:t>
      </w:r>
      <w:r w:rsidR="00D169BE" w:rsidRPr="002072EC">
        <w:t>.</w:t>
      </w:r>
    </w:p>
    <w:p w14:paraId="5A392E1C" w14:textId="77777777" w:rsidR="00101BCD" w:rsidRPr="002072EC" w:rsidRDefault="00101BCD" w:rsidP="00804F56">
      <w:pPr>
        <w:pStyle w:val="ListLevel1"/>
      </w:pPr>
      <w:r w:rsidRPr="002072EC">
        <w:t>I confirm that except where expressly indicated otherwise, the facts contained in this affidavit are within my personal knowledge and are true and correct.</w:t>
      </w:r>
    </w:p>
    <w:p w14:paraId="5EAAC0E3" w14:textId="77777777" w:rsidR="00101BCD" w:rsidRPr="002072EC" w:rsidRDefault="00101BCD" w:rsidP="00101BCD">
      <w:pPr>
        <w:pStyle w:val="Heading1"/>
        <w:rPr>
          <w:sz w:val="24"/>
          <w:szCs w:val="24"/>
        </w:rPr>
      </w:pPr>
      <w:r w:rsidRPr="002072EC">
        <w:rPr>
          <w:sz w:val="24"/>
          <w:szCs w:val="24"/>
        </w:rPr>
        <w:t>the parties</w:t>
      </w:r>
    </w:p>
    <w:p w14:paraId="143FE3DF" w14:textId="32617879" w:rsidR="00101BCD" w:rsidRPr="002072EC" w:rsidRDefault="00FC7B49" w:rsidP="00804F56">
      <w:pPr>
        <w:pStyle w:val="ListLevel1"/>
      </w:pPr>
      <w:r w:rsidRPr="002072EC">
        <w:t xml:space="preserve">The applicant </w:t>
      </w:r>
      <w:r w:rsidR="00D169BE" w:rsidRPr="002072EC">
        <w:t>is CALS,</w:t>
      </w:r>
      <w:r w:rsidR="00855771" w:rsidRPr="002072EC">
        <w:t xml:space="preserve"> a registered law clinic with the Legal Practice Council </w:t>
      </w:r>
      <w:r w:rsidR="00D169BE" w:rsidRPr="002072EC">
        <w:t xml:space="preserve">with </w:t>
      </w:r>
      <w:r w:rsidR="00855771" w:rsidRPr="002072EC">
        <w:t>legal standing to act in the public interest in terms of section 38(d) of the Constitution.</w:t>
      </w:r>
    </w:p>
    <w:p w14:paraId="7215AA9D" w14:textId="6BA89A5E" w:rsidR="00101BCD" w:rsidRPr="002072EC" w:rsidRDefault="00855771" w:rsidP="00804F56">
      <w:pPr>
        <w:pStyle w:val="ListLevel1"/>
      </w:pPr>
      <w:r w:rsidRPr="002072EC">
        <w:t xml:space="preserve">CALS’ interest is informed by its direct engagement with rural communities, women, landless persons, and social movements across South Africa, and </w:t>
      </w:r>
      <w:r w:rsidRPr="002072EC">
        <w:lastRenderedPageBreak/>
        <w:t>draws from its collaboration with international partners through its membership in</w:t>
      </w:r>
      <w:r w:rsidR="009943B8">
        <w:t xml:space="preserve"> the</w:t>
      </w:r>
      <w:r w:rsidRPr="002072EC">
        <w:t xml:space="preserve"> ESCR-Net (</w:t>
      </w:r>
      <w:r w:rsidR="000A2BCB">
        <w:t>“</w:t>
      </w:r>
      <w:r w:rsidRPr="00C17C33">
        <w:rPr>
          <w:b/>
          <w:bCs/>
        </w:rPr>
        <w:t>International Network for Economic, Social and Cultural Rights</w:t>
      </w:r>
      <w:r w:rsidR="000A2BCB">
        <w:t>”</w:t>
      </w:r>
      <w:r w:rsidRPr="002072EC">
        <w:t>)</w:t>
      </w:r>
      <w:r w:rsidR="00101BCD" w:rsidRPr="002072EC">
        <w:t>.</w:t>
      </w:r>
    </w:p>
    <w:p w14:paraId="0DE49671" w14:textId="2B62FDF2" w:rsidR="00804F56" w:rsidRDefault="00804F56" w:rsidP="00804F56">
      <w:pPr>
        <w:pStyle w:val="ListLevel1"/>
      </w:pPr>
      <w:r w:rsidRPr="009A6F38">
        <w:t>ESCR-Net is an international network of more than</w:t>
      </w:r>
      <w:r w:rsidR="009943B8">
        <w:t xml:space="preserve"> three hundred and fifty</w:t>
      </w:r>
      <w:r w:rsidRPr="009A6F38">
        <w:t xml:space="preserve"> </w:t>
      </w:r>
      <w:r w:rsidR="009943B8">
        <w:t>(</w:t>
      </w:r>
      <w:r w:rsidRPr="009A6F38">
        <w:t>350</w:t>
      </w:r>
      <w:r w:rsidR="009943B8">
        <w:t>)</w:t>
      </w:r>
      <w:r w:rsidRPr="009A6F38">
        <w:t xml:space="preserve"> organisational and individual members (including social movements, Indigenous and community organisations, NGOs, lawyers and academics) drawn from across over </w:t>
      </w:r>
      <w:r w:rsidR="009943B8">
        <w:t>eighty (</w:t>
      </w:r>
      <w:r w:rsidRPr="009A6F38">
        <w:t>80</w:t>
      </w:r>
      <w:r w:rsidR="009943B8">
        <w:t>)</w:t>
      </w:r>
      <w:r w:rsidRPr="009A6F38">
        <w:t xml:space="preserve"> countries and territories, the majority of which are based in the global south</w:t>
      </w:r>
      <w:r w:rsidR="0021065B">
        <w:t>, including in South Africa</w:t>
      </w:r>
      <w:r w:rsidRPr="009A6F38">
        <w:t xml:space="preserve">. ESCR-Net has made </w:t>
      </w:r>
      <w:r w:rsidRPr="009A6F38">
        <w:rPr>
          <w:i/>
          <w:iCs/>
        </w:rPr>
        <w:t xml:space="preserve">amicus curiae </w:t>
      </w:r>
      <w:r w:rsidRPr="009A6F38">
        <w:t xml:space="preserve">submissions on land and housing in South African courts (see </w:t>
      </w:r>
      <w:r w:rsidRPr="009A6F38">
        <w:rPr>
          <w:i/>
          <w:iCs/>
        </w:rPr>
        <w:t xml:space="preserve">Thubakgale &amp; Others v </w:t>
      </w:r>
      <w:proofErr w:type="spellStart"/>
      <w:r w:rsidRPr="009A6F38">
        <w:rPr>
          <w:i/>
          <w:iCs/>
        </w:rPr>
        <w:t>Ekhurhuleni</w:t>
      </w:r>
      <w:proofErr w:type="spellEnd"/>
      <w:r w:rsidRPr="009A6F38">
        <w:rPr>
          <w:i/>
          <w:iCs/>
        </w:rPr>
        <w:t xml:space="preserve"> &amp; Others - </w:t>
      </w:r>
      <w:r w:rsidRPr="009A6F38">
        <w:t xml:space="preserve">Case No: 15/39602 (6 June 2022); foreign courts (e.g. </w:t>
      </w:r>
      <w:r w:rsidR="00FB64EE" w:rsidRPr="00FB64EE">
        <w:rPr>
          <w:i/>
          <w:iCs/>
        </w:rPr>
        <w:t>a</w:t>
      </w:r>
      <w:r w:rsidRPr="00FB64EE">
        <w:rPr>
          <w:i/>
          <w:iCs/>
        </w:rPr>
        <w:t xml:space="preserve">micus </w:t>
      </w:r>
      <w:r w:rsidR="00FB64EE" w:rsidRPr="00FB64EE">
        <w:rPr>
          <w:i/>
          <w:iCs/>
        </w:rPr>
        <w:t>c</w:t>
      </w:r>
      <w:r w:rsidRPr="00FB64EE">
        <w:rPr>
          <w:i/>
          <w:iCs/>
        </w:rPr>
        <w:t>uriae</w:t>
      </w:r>
      <w:r w:rsidRPr="009A6F38">
        <w:t xml:space="preserve"> briefs before the Constitutional Court of Ecuador on the eviction of 96 peasant families (January 2025)); and regional human rights bodies (e.g. </w:t>
      </w:r>
      <w:r w:rsidR="00FB64EE" w:rsidRPr="00FB64EE">
        <w:rPr>
          <w:i/>
          <w:iCs/>
        </w:rPr>
        <w:t>a</w:t>
      </w:r>
      <w:r w:rsidRPr="00FB64EE">
        <w:rPr>
          <w:i/>
          <w:iCs/>
        </w:rPr>
        <w:t xml:space="preserve">micus </w:t>
      </w:r>
      <w:r w:rsidR="00FB64EE" w:rsidRPr="00FB64EE">
        <w:rPr>
          <w:i/>
          <w:iCs/>
        </w:rPr>
        <w:t>c</w:t>
      </w:r>
      <w:r w:rsidRPr="00FB64EE">
        <w:rPr>
          <w:i/>
          <w:iCs/>
        </w:rPr>
        <w:t>uriae</w:t>
      </w:r>
      <w:r w:rsidRPr="009A6F38">
        <w:t xml:space="preserve"> brief before the African Commission on Human and Peoples’ Rights, Communication No. 588/15: </w:t>
      </w:r>
      <w:r w:rsidRPr="009A6F38">
        <w:rPr>
          <w:i/>
          <w:iCs/>
        </w:rPr>
        <w:t xml:space="preserve">Minority Rights Group International &amp; Environnement </w:t>
      </w:r>
      <w:proofErr w:type="spellStart"/>
      <w:r w:rsidRPr="009A6F38">
        <w:rPr>
          <w:i/>
          <w:iCs/>
        </w:rPr>
        <w:t>Ressources</w:t>
      </w:r>
      <w:proofErr w:type="spellEnd"/>
      <w:r w:rsidRPr="009A6F38">
        <w:rPr>
          <w:i/>
          <w:iCs/>
        </w:rPr>
        <w:t xml:space="preserve"> </w:t>
      </w:r>
      <w:proofErr w:type="spellStart"/>
      <w:r w:rsidRPr="009A6F38">
        <w:rPr>
          <w:i/>
          <w:iCs/>
        </w:rPr>
        <w:t>Naturelles</w:t>
      </w:r>
      <w:proofErr w:type="spellEnd"/>
      <w:r w:rsidRPr="009A6F38">
        <w:rPr>
          <w:i/>
          <w:iCs/>
        </w:rPr>
        <w:t xml:space="preserve"> et Developpement (on Behalf of the Batwa of Parc National de </w:t>
      </w:r>
      <w:proofErr w:type="spellStart"/>
      <w:r w:rsidRPr="009A6F38">
        <w:rPr>
          <w:i/>
          <w:iCs/>
        </w:rPr>
        <w:t>Kahuzi</w:t>
      </w:r>
      <w:proofErr w:type="spellEnd"/>
      <w:r w:rsidRPr="009A6F38">
        <w:rPr>
          <w:i/>
          <w:iCs/>
        </w:rPr>
        <w:t>-Biega) v. Democratic Republic of Congo</w:t>
      </w:r>
      <w:r w:rsidRPr="009A6F38">
        <w:t xml:space="preserve"> (18 December 2020)).</w:t>
      </w:r>
    </w:p>
    <w:p w14:paraId="286FB0C5" w14:textId="65FF83C5" w:rsidR="00855771" w:rsidRPr="002072EC" w:rsidRDefault="00855771" w:rsidP="00804F56">
      <w:pPr>
        <w:pStyle w:val="ListLevel1"/>
      </w:pPr>
      <w:r w:rsidRPr="002072EC">
        <w:t>CALS</w:t>
      </w:r>
      <w:r w:rsidR="009943B8">
        <w:t>, a member of the ESCR-Net,</w:t>
      </w:r>
      <w:r w:rsidRPr="002072EC">
        <w:t xml:space="preserve"> was founded in 1978 during apartheid as a response to the need for public interest legal representation. Since its founding, CALS has pursued its mission to advance human rights and </w:t>
      </w:r>
      <w:r w:rsidRPr="002072EC">
        <w:lastRenderedPageBreak/>
        <w:t xml:space="preserve">social justice in South Africa through strategic litigation, advocacy, research, and legal education. </w:t>
      </w:r>
    </w:p>
    <w:p w14:paraId="48F6C508" w14:textId="43BAEB97" w:rsidR="00855771" w:rsidRPr="002072EC" w:rsidRDefault="00855771" w:rsidP="00804F56">
      <w:pPr>
        <w:pStyle w:val="ListLevel1"/>
      </w:pPr>
      <w:r w:rsidRPr="002072EC">
        <w:t xml:space="preserve">CALS has a longstanding interest in land justice. It has published foundational research such as </w:t>
      </w:r>
      <w:r w:rsidR="00A813F2">
        <w:t>“</w:t>
      </w:r>
      <w:r w:rsidRPr="002072EC">
        <w:t>Who Owns South Africa?</w:t>
      </w:r>
      <w:r w:rsidR="00A813F2">
        <w:t>”</w:t>
      </w:r>
      <w:r w:rsidRPr="002072EC">
        <w:t xml:space="preserve"> by </w:t>
      </w:r>
      <w:proofErr w:type="spellStart"/>
      <w:r w:rsidR="43B298D1" w:rsidRPr="002072EC">
        <w:t>Ani</w:t>
      </w:r>
      <w:r w:rsidR="037DD571" w:rsidRPr="002072EC">
        <w:t>nka</w:t>
      </w:r>
      <w:proofErr w:type="spellEnd"/>
      <w:r w:rsidRPr="002072EC">
        <w:t xml:space="preserve"> Claassens (1991) and </w:t>
      </w:r>
      <w:r w:rsidR="00A813F2">
        <w:t>“</w:t>
      </w:r>
      <w:r w:rsidRPr="002072EC">
        <w:t>Defining Property Rights of Others</w:t>
      </w:r>
      <w:r w:rsidR="00A813F2">
        <w:t>”</w:t>
      </w:r>
      <w:r w:rsidRPr="002072EC">
        <w:t xml:space="preserve"> by Heinz Klug (1993), both of which critiqued apartheid-era land dispossession and the post-apartheid land reform framework.</w:t>
      </w:r>
    </w:p>
    <w:p w14:paraId="66D2C67F" w14:textId="7D264F9D" w:rsidR="00855771" w:rsidRPr="002072EC" w:rsidRDefault="646BF5E2" w:rsidP="00804F56">
      <w:pPr>
        <w:pStyle w:val="ListLevel1"/>
      </w:pPr>
      <w:r w:rsidRPr="002072EC">
        <w:t xml:space="preserve">CALS has also contributed to landmark litigation that shaped the jurisprudence on evictions and the </w:t>
      </w:r>
      <w:r w:rsidR="008D24EB">
        <w:t>s</w:t>
      </w:r>
      <w:r w:rsidRPr="002072EC">
        <w:t>tate’s obligations to provide alternative accommodation</w:t>
      </w:r>
      <w:r w:rsidR="6A82BBD7" w:rsidRPr="002072EC">
        <w:t>.</w:t>
      </w:r>
    </w:p>
    <w:p w14:paraId="7D963AB5" w14:textId="3753120E" w:rsidR="00855771" w:rsidRDefault="646BF5E2" w:rsidP="00804F56">
      <w:pPr>
        <w:pStyle w:val="ListLevel1"/>
      </w:pPr>
      <w:r w:rsidRPr="002072EC">
        <w:t>CALS’ Home, Land and Rural Democracy Programme aims to secure access to land and dignified living conditions for all, particularly marginalised rural communities. This includes advocating for reform of apartheid spatial planning, ensuring constitutional duties extend to private actors, and providing legal support to those facing land insecurity.</w:t>
      </w:r>
    </w:p>
    <w:p w14:paraId="79710019" w14:textId="74ECD44C" w:rsidR="004466E5" w:rsidRPr="002072EC" w:rsidRDefault="646BF5E2" w:rsidP="00855771">
      <w:pPr>
        <w:pStyle w:val="Heading1"/>
        <w:rPr>
          <w:sz w:val="24"/>
          <w:szCs w:val="24"/>
        </w:rPr>
      </w:pPr>
      <w:bookmarkStart w:id="1" w:name="_Hlk203124805"/>
      <w:r w:rsidRPr="002072EC">
        <w:rPr>
          <w:sz w:val="24"/>
          <w:szCs w:val="24"/>
        </w:rPr>
        <w:t>COMPLIANCE WITH RULE 16A</w:t>
      </w:r>
    </w:p>
    <w:bookmarkEnd w:id="1"/>
    <w:p w14:paraId="7C2A964C" w14:textId="3C232C1B" w:rsidR="00855771" w:rsidRPr="002072EC" w:rsidRDefault="453B1A56" w:rsidP="00804F56">
      <w:pPr>
        <w:pStyle w:val="ListLevel1"/>
      </w:pPr>
      <w:r w:rsidRPr="002072EC">
        <w:t>Rule 16A</w:t>
      </w:r>
      <w:r w:rsidR="65726E2E" w:rsidRPr="002072EC">
        <w:t xml:space="preserve"> </w:t>
      </w:r>
      <w:r w:rsidR="00B143D7">
        <w:t xml:space="preserve">of the Uniform Rules of Court </w:t>
      </w:r>
      <w:r w:rsidR="65726E2E" w:rsidRPr="002072EC">
        <w:t xml:space="preserve">makes provision for </w:t>
      </w:r>
      <w:r w:rsidR="65726E2E" w:rsidRPr="00C17C33">
        <w:rPr>
          <w:i/>
          <w:iCs/>
        </w:rPr>
        <w:t>amicus curiae</w:t>
      </w:r>
      <w:r w:rsidR="65726E2E" w:rsidRPr="002072EC">
        <w:t xml:space="preserve"> to seek consent to enter a matter including on the specific timelines within which this must be made.</w:t>
      </w:r>
      <w:r w:rsidRPr="002072EC">
        <w:t xml:space="preserve"> </w:t>
      </w:r>
      <w:r w:rsidR="646BF5E2" w:rsidRPr="002072EC">
        <w:t>In terms of Rule 16A (5</w:t>
      </w:r>
      <w:r w:rsidR="009943B8" w:rsidRPr="002072EC">
        <w:t>),</w:t>
      </w:r>
      <w:r w:rsidR="646BF5E2" w:rsidRPr="002072EC">
        <w:t xml:space="preserve"> an application for </w:t>
      </w:r>
      <w:r w:rsidR="646BF5E2" w:rsidRPr="002072EC">
        <w:lastRenderedPageBreak/>
        <w:t xml:space="preserve">admission as </w:t>
      </w:r>
      <w:r w:rsidR="646BF5E2" w:rsidRPr="00C17C33">
        <w:rPr>
          <w:i/>
          <w:iCs/>
        </w:rPr>
        <w:t>amicus curiae</w:t>
      </w:r>
      <w:r w:rsidR="646BF5E2" w:rsidRPr="002072EC">
        <w:t xml:space="preserve"> must be brought within five days after the expiry of the 20-day period contemplated in Rule 16A (2), being the period within which the written consent of all parties may be obtained. </w:t>
      </w:r>
    </w:p>
    <w:p w14:paraId="153317F2" w14:textId="663883E1" w:rsidR="00855771" w:rsidRPr="002072EC" w:rsidRDefault="702F7E13" w:rsidP="00804F56">
      <w:pPr>
        <w:pStyle w:val="ListLevel1"/>
      </w:pPr>
      <w:r w:rsidRPr="002072EC">
        <w:t>CALS became generally aware of th</w:t>
      </w:r>
      <w:r w:rsidR="00D169BE" w:rsidRPr="002072EC">
        <w:t>e</w:t>
      </w:r>
      <w:r w:rsidRPr="002072EC">
        <w:t xml:space="preserve"> application</w:t>
      </w:r>
      <w:r w:rsidR="00D169BE" w:rsidRPr="002072EC">
        <w:t xml:space="preserve"> made by the Nelson Mandela Foundation Trust (</w:t>
      </w:r>
      <w:r w:rsidR="000A2BCB">
        <w:t>“</w:t>
      </w:r>
      <w:r w:rsidR="00D169BE" w:rsidRPr="00C17C33">
        <w:rPr>
          <w:b/>
          <w:bCs/>
        </w:rPr>
        <w:t>NMF Trust</w:t>
      </w:r>
      <w:r w:rsidR="000A2BCB">
        <w:t>”</w:t>
      </w:r>
      <w:r w:rsidR="00D169BE" w:rsidRPr="002072EC">
        <w:t>)</w:t>
      </w:r>
      <w:r w:rsidRPr="002072EC">
        <w:t xml:space="preserve"> on 19 February 2025. After several consultation</w:t>
      </w:r>
      <w:r w:rsidR="13750369" w:rsidRPr="002072EC">
        <w:t>s</w:t>
      </w:r>
      <w:r w:rsidRPr="002072EC">
        <w:t xml:space="preserve"> with </w:t>
      </w:r>
      <w:r w:rsidR="3EF10B19" w:rsidRPr="002072EC">
        <w:t>members of the ESCR-Net; CALS addressed a letter in terms of Rule 16A to the parties on 18 March 2025</w:t>
      </w:r>
      <w:r w:rsidR="302E9813" w:rsidRPr="002072EC">
        <w:t xml:space="preserve"> seeking their consent for CALS to make written and oral submission in this matter. This correspondence is </w:t>
      </w:r>
      <w:r w:rsidR="302E9813" w:rsidRPr="005342E0">
        <w:t>a</w:t>
      </w:r>
      <w:r w:rsidR="000A2BCB" w:rsidRPr="005342E0">
        <w:t>nnexed as “</w:t>
      </w:r>
      <w:r w:rsidR="000A2BCB" w:rsidRPr="005342E0">
        <w:rPr>
          <w:b/>
          <w:bCs/>
        </w:rPr>
        <w:t>GV1</w:t>
      </w:r>
      <w:r w:rsidR="000A2BCB" w:rsidRPr="005342E0">
        <w:t>”</w:t>
      </w:r>
      <w:r w:rsidR="3D66448E" w:rsidRPr="005342E0">
        <w:t>.</w:t>
      </w:r>
      <w:r w:rsidR="3D66448E" w:rsidRPr="002072EC">
        <w:t xml:space="preserve"> </w:t>
      </w:r>
    </w:p>
    <w:p w14:paraId="281B4F32" w14:textId="4436DF87" w:rsidR="00855771" w:rsidRPr="002072EC" w:rsidRDefault="21DC0D7D" w:rsidP="00804F56">
      <w:pPr>
        <w:pStyle w:val="ListLevel1"/>
      </w:pPr>
      <w:r w:rsidRPr="002072EC">
        <w:t xml:space="preserve">On </w:t>
      </w:r>
      <w:r w:rsidR="6C3E91AD" w:rsidRPr="002072EC">
        <w:t xml:space="preserve">16 April 2025, </w:t>
      </w:r>
      <w:r w:rsidR="00D169BE" w:rsidRPr="002072EC">
        <w:t xml:space="preserve">NMF Trust’s </w:t>
      </w:r>
      <w:r w:rsidR="6C3E91AD" w:rsidRPr="002072EC">
        <w:t>attorneys addressed correspondence to us indicating that they did not have any objection to CALS</w:t>
      </w:r>
      <w:r w:rsidR="6D576264" w:rsidRPr="002072EC">
        <w:t xml:space="preserve">’ intervention. </w:t>
      </w:r>
      <w:r w:rsidR="00D169BE" w:rsidRPr="002072EC">
        <w:t xml:space="preserve">This correspondence is </w:t>
      </w:r>
      <w:r w:rsidR="000A2BCB" w:rsidRPr="005342E0">
        <w:t>annexed as “</w:t>
      </w:r>
      <w:r w:rsidR="000A2BCB" w:rsidRPr="005342E0">
        <w:rPr>
          <w:b/>
          <w:bCs/>
        </w:rPr>
        <w:t>GV2</w:t>
      </w:r>
      <w:r w:rsidR="000A2BCB" w:rsidRPr="005342E0">
        <w:t>”</w:t>
      </w:r>
      <w:r w:rsidR="00CB25CA" w:rsidRPr="005342E0">
        <w:t>.</w:t>
      </w:r>
      <w:r w:rsidR="00CB25CA">
        <w:t xml:space="preserve"> </w:t>
      </w:r>
    </w:p>
    <w:p w14:paraId="605201D0" w14:textId="77777777" w:rsidR="00D169BE" w:rsidRPr="002072EC" w:rsidRDefault="04F420DB" w:rsidP="00804F56">
      <w:pPr>
        <w:pStyle w:val="ListLevel1"/>
      </w:pPr>
      <w:r w:rsidRPr="002072EC">
        <w:t>Al</w:t>
      </w:r>
      <w:r w:rsidR="65BD81FA" w:rsidRPr="002072EC">
        <w:t>l respondents</w:t>
      </w:r>
      <w:r w:rsidR="00D169BE" w:rsidRPr="002072EC">
        <w:t xml:space="preserve"> in the NMF Trust’s application</w:t>
      </w:r>
      <w:r w:rsidR="65BD81FA" w:rsidRPr="002072EC">
        <w:t xml:space="preserve"> are represented by the state attorney. </w:t>
      </w:r>
    </w:p>
    <w:p w14:paraId="34A01033" w14:textId="0CD5F4F7" w:rsidR="00855771" w:rsidRPr="002072EC" w:rsidRDefault="65BD81FA" w:rsidP="00804F56">
      <w:pPr>
        <w:pStyle w:val="ListLevel1"/>
      </w:pPr>
      <w:r w:rsidRPr="002072EC">
        <w:t>On 27 March 202</w:t>
      </w:r>
      <w:r w:rsidR="00993DCA">
        <w:t>5</w:t>
      </w:r>
      <w:r w:rsidRPr="002072EC">
        <w:t xml:space="preserve">, the first and second respondents indicated that they did not </w:t>
      </w:r>
      <w:r w:rsidR="6C1B6D09" w:rsidRPr="002072EC">
        <w:t>have any objections to CALS’ intervention</w:t>
      </w:r>
      <w:r w:rsidR="145A2BD9" w:rsidRPr="002072EC">
        <w:t>, and their</w:t>
      </w:r>
      <w:r w:rsidR="6C1B6D09" w:rsidRPr="002072EC">
        <w:t xml:space="preserve"> correspondence is </w:t>
      </w:r>
      <w:r w:rsidR="004E4880" w:rsidRPr="005342E0">
        <w:t>annexed as “</w:t>
      </w:r>
      <w:r w:rsidR="004E4880" w:rsidRPr="005342E0">
        <w:rPr>
          <w:b/>
          <w:bCs/>
        </w:rPr>
        <w:t>GV3</w:t>
      </w:r>
      <w:r w:rsidR="004E4880" w:rsidRPr="005342E0">
        <w:t>”</w:t>
      </w:r>
      <w:r w:rsidR="6C1B6D09" w:rsidRPr="005342E0">
        <w:t>.</w:t>
      </w:r>
      <w:r w:rsidR="6C1B6D09" w:rsidRPr="002072EC">
        <w:t xml:space="preserve"> </w:t>
      </w:r>
      <w:r w:rsidR="6C1B6D09" w:rsidRPr="00FB64EE">
        <w:t xml:space="preserve">On </w:t>
      </w:r>
      <w:r w:rsidR="0B0CC551" w:rsidRPr="00FB64EE">
        <w:t>16 April 2025, the</w:t>
      </w:r>
      <w:r w:rsidR="04F420DB" w:rsidRPr="00FB64EE">
        <w:t xml:space="preserve"> third and fourth respondents</w:t>
      </w:r>
      <w:r w:rsidR="3D24409A" w:rsidRPr="00FB64EE">
        <w:t xml:space="preserve"> sought</w:t>
      </w:r>
      <w:r w:rsidR="04F420DB" w:rsidRPr="00FB64EE">
        <w:t xml:space="preserve"> further clarity on our submissions </w:t>
      </w:r>
      <w:r w:rsidR="709E2944" w:rsidRPr="00FB64EE">
        <w:t xml:space="preserve">and indicated that they would only be able to respond upon receipt of the actual submissions. </w:t>
      </w:r>
      <w:r w:rsidR="2D76B2E2" w:rsidRPr="00FB64EE">
        <w:t>Th</w:t>
      </w:r>
      <w:r w:rsidR="51C7B672" w:rsidRPr="00FB64EE">
        <w:t>eir</w:t>
      </w:r>
      <w:r w:rsidR="2D76B2E2" w:rsidRPr="00FB64EE">
        <w:t xml:space="preserve"> correspondence is </w:t>
      </w:r>
      <w:r w:rsidR="004E4880" w:rsidRPr="00FB64EE">
        <w:t>annexed as “</w:t>
      </w:r>
      <w:r w:rsidR="004E4880" w:rsidRPr="00FB64EE">
        <w:rPr>
          <w:b/>
          <w:bCs/>
        </w:rPr>
        <w:t>GV4</w:t>
      </w:r>
      <w:r w:rsidR="004E4880" w:rsidRPr="00FB64EE">
        <w:t>”</w:t>
      </w:r>
      <w:r w:rsidR="2D76B2E2" w:rsidRPr="00FB64EE">
        <w:t>.</w:t>
      </w:r>
      <w:r w:rsidR="2D76B2E2" w:rsidRPr="002072EC">
        <w:t xml:space="preserve"> </w:t>
      </w:r>
    </w:p>
    <w:p w14:paraId="0924A830" w14:textId="5ACA22D7" w:rsidR="004E4880" w:rsidRPr="004E4880" w:rsidRDefault="46200D27" w:rsidP="00804F56">
      <w:pPr>
        <w:pStyle w:val="ListLevel1"/>
      </w:pPr>
      <w:r w:rsidRPr="002072EC">
        <w:lastRenderedPageBreak/>
        <w:t xml:space="preserve">CALS </w:t>
      </w:r>
      <w:r w:rsidR="646BF5E2" w:rsidRPr="002072EC">
        <w:t>seeks to place before the Court a distinct perspective not otherwise presented by the existing parties. We respectfully submit that our participation will assist the Court in the proper and just determination of the issues before it, and that condonation ought to be granted accordingly.</w:t>
      </w:r>
    </w:p>
    <w:p w14:paraId="7CE79988" w14:textId="7C61DC37" w:rsidR="004E4880" w:rsidRPr="004E4880" w:rsidRDefault="004E4880" w:rsidP="00804F56">
      <w:pPr>
        <w:pStyle w:val="ListLevel1"/>
      </w:pPr>
      <w:r>
        <w:t xml:space="preserve">CALS submits </w:t>
      </w:r>
      <w:r w:rsidRPr="004E4880">
        <w:t xml:space="preserve">that the admission of </w:t>
      </w:r>
      <w:r w:rsidRPr="00C17C33">
        <w:rPr>
          <w:i/>
          <w:iCs/>
        </w:rPr>
        <w:t>amic</w:t>
      </w:r>
      <w:r w:rsidR="009943B8">
        <w:rPr>
          <w:i/>
          <w:iCs/>
        </w:rPr>
        <w:t>us</w:t>
      </w:r>
      <w:r w:rsidRPr="00C17C33">
        <w:rPr>
          <w:i/>
          <w:iCs/>
        </w:rPr>
        <w:t xml:space="preserve"> curiae</w:t>
      </w:r>
      <w:r w:rsidRPr="004E4880">
        <w:t xml:space="preserve"> is particularly appropriate where their submissions are directed at assisting the Court in resolving complex constitutional issues. </w:t>
      </w:r>
      <w:r>
        <w:t xml:space="preserve">Further, CALS submits that </w:t>
      </w:r>
      <w:r w:rsidRPr="00C17C33">
        <w:rPr>
          <w:i/>
          <w:iCs/>
        </w:rPr>
        <w:t>amic</w:t>
      </w:r>
      <w:r w:rsidR="00785F09">
        <w:rPr>
          <w:i/>
          <w:iCs/>
        </w:rPr>
        <w:t>us</w:t>
      </w:r>
      <w:r w:rsidRPr="00C17C33">
        <w:rPr>
          <w:i/>
          <w:iCs/>
        </w:rPr>
        <w:t xml:space="preserve"> </w:t>
      </w:r>
      <w:r w:rsidR="00E26CD4">
        <w:rPr>
          <w:i/>
          <w:iCs/>
        </w:rPr>
        <w:t xml:space="preserve">curiae </w:t>
      </w:r>
      <w:r w:rsidRPr="004E4880">
        <w:t>submissions can enrich the Court’s understanding by offering insights grounded in speciali</w:t>
      </w:r>
      <w:r>
        <w:t>s</w:t>
      </w:r>
      <w:r w:rsidRPr="004E4880">
        <w:t xml:space="preserve">ed expertise </w:t>
      </w:r>
      <w:r w:rsidR="00E26CD4">
        <w:t>and</w:t>
      </w:r>
      <w:r w:rsidRPr="004E4880">
        <w:t xml:space="preserve"> broader societal considerations.</w:t>
      </w:r>
    </w:p>
    <w:p w14:paraId="0BDE8C21" w14:textId="73E42FF4" w:rsidR="004E4880" w:rsidRPr="002072EC" w:rsidRDefault="004E4880" w:rsidP="00804F56">
      <w:pPr>
        <w:pStyle w:val="ListLevel1"/>
      </w:pPr>
      <w:r w:rsidRPr="004E4880">
        <w:t>CALS submits that its participation would serve precisely this purpose. As an organi</w:t>
      </w:r>
      <w:r>
        <w:t>s</w:t>
      </w:r>
      <w:r w:rsidRPr="004E4880">
        <w:t>ation dedicated to advancing human rights and social justice, CALS is uniquely positioned to provide the Court with a perspective that reflects both legal expertise and the lived experiences of affected communities. This contribution would ensure that the Court is fully appr</w:t>
      </w:r>
      <w:r w:rsidR="00C12FD3">
        <w:t>a</w:t>
      </w:r>
      <w:r w:rsidRPr="004E4880">
        <w:t>ised of the broader implications of its decision, thereby promoting the interests of justice.</w:t>
      </w:r>
    </w:p>
    <w:p w14:paraId="5544A612" w14:textId="604908A0" w:rsidR="0057637E" w:rsidRDefault="0057637E" w:rsidP="00804F56">
      <w:pPr>
        <w:pStyle w:val="ListLevel1"/>
      </w:pPr>
      <w:r>
        <w:t>CALS acknowledges that this application falls outside the time periods set out in Rule 16</w:t>
      </w:r>
      <w:proofErr w:type="gramStart"/>
      <w:r>
        <w:t>A(</w:t>
      </w:r>
      <w:proofErr w:type="gramEnd"/>
      <w:r>
        <w:t>2) and (5). However, Rule 16</w:t>
      </w:r>
      <w:proofErr w:type="gramStart"/>
      <w:r>
        <w:t>A(</w:t>
      </w:r>
      <w:proofErr w:type="gramEnd"/>
      <w:r>
        <w:t xml:space="preserve">9) empowers this Court to dispense with the time requirements if it is in the interests of justice to do </w:t>
      </w:r>
      <w:r>
        <w:lastRenderedPageBreak/>
        <w:t>so. CALS submit</w:t>
      </w:r>
      <w:r w:rsidR="00804F56">
        <w:t>s</w:t>
      </w:r>
      <w:r>
        <w:t xml:space="preserve"> that condonation should be granted in this case for the following reasons:</w:t>
      </w:r>
    </w:p>
    <w:p w14:paraId="45A3EFE2" w14:textId="7AE95A65" w:rsidR="0057637E" w:rsidRDefault="0057637E" w:rsidP="00804F56">
      <w:pPr>
        <w:pStyle w:val="ListLevel2"/>
      </w:pPr>
      <w:r>
        <w:t>The issues raised in this matter involve constitutional questions of significant public importance. Courts have emphasised that the nature of constitutional issues and their prospects of success weigh heavily in favour of granting condonation. Similarly,</w:t>
      </w:r>
      <w:r w:rsidR="00C55CC1">
        <w:t xml:space="preserve"> the Constitutional</w:t>
      </w:r>
      <w:r w:rsidR="00DB1A9C">
        <w:t xml:space="preserve"> Court in</w:t>
      </w:r>
      <w:r>
        <w:t xml:space="preserve"> </w:t>
      </w:r>
      <w:r w:rsidRPr="007026EC">
        <w:rPr>
          <w:i/>
          <w:iCs/>
        </w:rPr>
        <w:t>Minister of Defence and Military Veterans v Motau and Others</w:t>
      </w:r>
      <w:r>
        <w:t xml:space="preserve"> </w:t>
      </w:r>
      <w:r w:rsidR="00B20A15">
        <w:t xml:space="preserve">2014 (5) SA 69 (CC) </w:t>
      </w:r>
      <w:r>
        <w:t>(para 24), held that it would not be in the interests of justice to refuse condonation in matters of great public importance, particularly where arguments could assist in resolving complex issues.</w:t>
      </w:r>
    </w:p>
    <w:p w14:paraId="3D3687CB" w14:textId="3FFE5A1E" w:rsidR="0057637E" w:rsidRDefault="0057637E" w:rsidP="00804F56">
      <w:pPr>
        <w:pStyle w:val="ListLevel2"/>
      </w:pPr>
      <w:r>
        <w:t xml:space="preserve">CALS' participation in this matter would provide valuable insight and assistance to the Court on the constitutional issues at hand. As the Court in </w:t>
      </w:r>
      <w:r w:rsidRPr="00DB1A9C">
        <w:rPr>
          <w:i/>
          <w:iCs/>
        </w:rPr>
        <w:t>Motau</w:t>
      </w:r>
      <w:r>
        <w:t xml:space="preserve"> highlighted it is essential to allow argument that may aid in addressing complex and significant matters.</w:t>
      </w:r>
    </w:p>
    <w:p w14:paraId="569D8DC1" w14:textId="51FC1326" w:rsidR="0057637E" w:rsidRDefault="0057637E" w:rsidP="00804F56">
      <w:pPr>
        <w:pStyle w:val="ListLevel2"/>
      </w:pPr>
      <w:r>
        <w:t>Granting condonation in this instance would not unduly prejudice any party</w:t>
      </w:r>
      <w:r w:rsidR="00EB450D">
        <w:t xml:space="preserve"> as other papers, such as the NMF Trust’s replying affidavit, are still being finalised as far as I am aware</w:t>
      </w:r>
      <w:r w:rsidR="003E74FC">
        <w:t xml:space="preserve">. </w:t>
      </w:r>
      <w:r>
        <w:t>The delay in filing</w:t>
      </w:r>
      <w:r w:rsidR="00EB450D">
        <w:t xml:space="preserve"> this application</w:t>
      </w:r>
      <w:r>
        <w:t xml:space="preserve"> is outweighed by the importance of the constitutional questions and the potential contribution CALS can make to the resolution of these issues.</w:t>
      </w:r>
    </w:p>
    <w:p w14:paraId="68764153" w14:textId="01CB1B59" w:rsidR="002570F3" w:rsidRPr="002072EC" w:rsidRDefault="008D24EB" w:rsidP="00804F56">
      <w:pPr>
        <w:pStyle w:val="ListLevel1"/>
      </w:pPr>
      <w:r>
        <w:lastRenderedPageBreak/>
        <w:t>Additionally, t</w:t>
      </w:r>
      <w:r w:rsidR="002570F3" w:rsidRPr="002072EC">
        <w:t>h</w:t>
      </w:r>
      <w:r w:rsidR="00804F56">
        <w:t xml:space="preserve">e delay has also given us the opportunity to consider the versions of all parties through the founding and answering affidavits </w:t>
      </w:r>
      <w:r w:rsidR="002570F3" w:rsidRPr="002072EC">
        <w:t xml:space="preserve">culminating in the unique and narrowly tailored submission CALS intends to make and this will avoid expanding the factual record. </w:t>
      </w:r>
    </w:p>
    <w:p w14:paraId="1C2DF02F" w14:textId="38819FFF" w:rsidR="0057637E" w:rsidRPr="002072EC" w:rsidRDefault="0A6B0A61" w:rsidP="00804F56">
      <w:pPr>
        <w:pStyle w:val="ListLevel1"/>
      </w:pPr>
      <w:r w:rsidRPr="002072EC">
        <w:t>Accordingly, f</w:t>
      </w:r>
      <w:r w:rsidR="008D24EB">
        <w:t>or these reasons, we respectfully submit that it is in the interests of justice for this Court to grant condonation and allow CALS to participate in this matter.</w:t>
      </w:r>
    </w:p>
    <w:p w14:paraId="244AB3FA" w14:textId="45DBA412" w:rsidR="00295F84" w:rsidRDefault="00295F84" w:rsidP="00295F84">
      <w:pPr>
        <w:pStyle w:val="Heading1"/>
        <w:rPr>
          <w:sz w:val="24"/>
          <w:szCs w:val="24"/>
        </w:rPr>
      </w:pPr>
      <w:r w:rsidRPr="002072EC">
        <w:rPr>
          <w:sz w:val="24"/>
          <w:szCs w:val="24"/>
        </w:rPr>
        <w:t xml:space="preserve">CALS’ UNIQUE CONTRIBUTION </w:t>
      </w:r>
    </w:p>
    <w:p w14:paraId="40DC01C6" w14:textId="1B291C0A" w:rsidR="00D30D6B" w:rsidRDefault="00D30D6B" w:rsidP="00D30D6B">
      <w:pPr>
        <w:pStyle w:val="Heading1"/>
      </w:pPr>
      <w:r>
        <w:t>Structure of Submissions</w:t>
      </w:r>
    </w:p>
    <w:p w14:paraId="5CEE14DC" w14:textId="77212252" w:rsidR="00D30D6B" w:rsidRDefault="00D973DE" w:rsidP="00804F56">
      <w:pPr>
        <w:pStyle w:val="ListLevel1"/>
      </w:pPr>
      <w:r>
        <w:t>CALS seeks to make the following submissions:</w:t>
      </w:r>
    </w:p>
    <w:p w14:paraId="4FBC8442" w14:textId="2E5F06C2" w:rsidR="00800B32" w:rsidRDefault="00800B32" w:rsidP="00804F56">
      <w:pPr>
        <w:pStyle w:val="ListLevel2"/>
      </w:pPr>
      <w:r>
        <w:t>First, t</w:t>
      </w:r>
      <w:r w:rsidR="00D973DE">
        <w:t>he gendered and inter</w:t>
      </w:r>
      <w:r w:rsidR="00571E7D">
        <w:t xml:space="preserve">sectional </w:t>
      </w:r>
      <w:r w:rsidR="00E26CD4">
        <w:t>dimensions</w:t>
      </w:r>
      <w:r w:rsidR="00B143D7">
        <w:t xml:space="preserve"> </w:t>
      </w:r>
      <w:r w:rsidR="00571E7D">
        <w:t xml:space="preserve">of land dispossession. </w:t>
      </w:r>
      <w:r w:rsidR="00C61FDC">
        <w:t xml:space="preserve"> CALS seeks to make submissions that highlight </w:t>
      </w:r>
      <w:r w:rsidR="00D30D6B">
        <w:t xml:space="preserve">how patriarchal systems and apartheid policies excluded </w:t>
      </w:r>
      <w:r w:rsidR="00E26CD4">
        <w:t xml:space="preserve">Black </w:t>
      </w:r>
      <w:r w:rsidR="00D30D6B">
        <w:t>women from land ownership and decision-making</w:t>
      </w:r>
      <w:r w:rsidR="00123D17">
        <w:t xml:space="preserve"> and t</w:t>
      </w:r>
      <w:r w:rsidR="00D30D6B">
        <w:t>he ongoing impact of these systems on women’s access to land and economic opportunities.</w:t>
      </w:r>
    </w:p>
    <w:p w14:paraId="4D0C4424" w14:textId="46B46693" w:rsidR="00935BA4" w:rsidRDefault="009270B9" w:rsidP="00804F56">
      <w:pPr>
        <w:pStyle w:val="ListLevel2"/>
      </w:pPr>
      <w:r>
        <w:t xml:space="preserve">Second, </w:t>
      </w:r>
      <w:r w:rsidR="00DB5612">
        <w:t xml:space="preserve">CALS seeks to make submission </w:t>
      </w:r>
      <w:r w:rsidR="00FE1342">
        <w:t>on</w:t>
      </w:r>
      <w:r w:rsidR="003E74FC">
        <w:t xml:space="preserve"> relevant</w:t>
      </w:r>
      <w:r w:rsidR="00FE1342">
        <w:t xml:space="preserve"> comparative foreign law and jurisprudence. CALS offers examples from </w:t>
      </w:r>
      <w:r w:rsidR="00D30D6B">
        <w:t xml:space="preserve">the </w:t>
      </w:r>
      <w:r w:rsidR="00D30D6B">
        <w:lastRenderedPageBreak/>
        <w:t>Global South, including India, Bangladesh, and Brazil, where courts have addressed legislative gaps to protect constitutional rights.</w:t>
      </w:r>
    </w:p>
    <w:p w14:paraId="735E6260" w14:textId="38EF079E" w:rsidR="00D30D6B" w:rsidRDefault="009243F6" w:rsidP="00804F56">
      <w:pPr>
        <w:pStyle w:val="ListLevel2"/>
      </w:pPr>
      <w:r>
        <w:t>Third, CALS</w:t>
      </w:r>
      <w:r w:rsidR="007C2782">
        <w:t xml:space="preserve"> seeks to </w:t>
      </w:r>
      <w:r w:rsidR="00DA6178">
        <w:t>make submission</w:t>
      </w:r>
      <w:r w:rsidR="00C12FD3">
        <w:t>s</w:t>
      </w:r>
      <w:r w:rsidR="00DA6178">
        <w:t xml:space="preserve"> on</w:t>
      </w:r>
      <w:r w:rsidR="00935BA4">
        <w:t xml:space="preserve"> remedial principles</w:t>
      </w:r>
      <w:r w:rsidR="00C12FD3">
        <w:t>. That</w:t>
      </w:r>
      <w:r w:rsidR="00DA6178">
        <w:t xml:space="preserve"> </w:t>
      </w:r>
      <w:r w:rsidR="00D30D6B">
        <w:t xml:space="preserve">remedies </w:t>
      </w:r>
      <w:r w:rsidR="00DA6178">
        <w:t>need to</w:t>
      </w:r>
      <w:r w:rsidR="00D30D6B">
        <w:t xml:space="preserve"> address structural inequalities and promote gender equity.  </w:t>
      </w:r>
    </w:p>
    <w:p w14:paraId="5AC285FE" w14:textId="0D34C6C4" w:rsidR="00B23EB8" w:rsidRDefault="00B23EB8" w:rsidP="00DB1A9C">
      <w:pPr>
        <w:pStyle w:val="Heading1"/>
        <w:numPr>
          <w:ilvl w:val="0"/>
          <w:numId w:val="44"/>
        </w:numPr>
      </w:pPr>
      <w:bookmarkStart w:id="2" w:name="_Hlk203125611"/>
      <w:r w:rsidRPr="00B23EB8">
        <w:rPr>
          <w:sz w:val="24"/>
          <w:szCs w:val="24"/>
        </w:rPr>
        <w:t>Gendered and Intersectional Dimensions of Land Dispossession</w:t>
      </w:r>
    </w:p>
    <w:p w14:paraId="79ED5051" w14:textId="5E052F95" w:rsidR="00997AD8" w:rsidRDefault="00997AD8" w:rsidP="00804F56">
      <w:pPr>
        <w:pStyle w:val="ListLevel1"/>
      </w:pPr>
      <w:r w:rsidRPr="00997AD8">
        <w:t>Land dispossession is deeply rooted in the country’s colonial and apartheid history. This process not only stripped Black South Africans of their land but also entrenched systemic inequalities that persist today. While much of the discourse around land dispossession focuses on race and class, it is critical to explore the gendered and intersectional dimensions of this issue. Women, particularly Black women, have faced unique challenges due to the intersection of race, gender, and socio-economic status.</w:t>
      </w:r>
    </w:p>
    <w:p w14:paraId="5332692C" w14:textId="3826F370" w:rsidR="00997AD8" w:rsidRDefault="00997AD8" w:rsidP="00804F56">
      <w:pPr>
        <w:pStyle w:val="ListLevel1"/>
      </w:pPr>
      <w:r>
        <w:t xml:space="preserve">Colonialism and apartheid policies systematically excluded Black South Africans from land ownership. The 1913 Natives Land Act and subsequent legislation confined Black people to only 7% of the land, later increased to 13%. These laws not only dispossessed Black communities but also </w:t>
      </w:r>
      <w:r>
        <w:lastRenderedPageBreak/>
        <w:t>reinforced patriarchal systems. Land ownership was often tied to male heads of households, sidelining women’s rights and contributions.</w:t>
      </w:r>
    </w:p>
    <w:p w14:paraId="67DA9EDF" w14:textId="506981DC" w:rsidR="00997AD8" w:rsidRDefault="00997AD8" w:rsidP="00804F56">
      <w:pPr>
        <w:pStyle w:val="ListLevel1"/>
      </w:pPr>
      <w:r>
        <w:t xml:space="preserve">Under apartheid, </w:t>
      </w:r>
      <w:r w:rsidR="00E26CD4">
        <w:t xml:space="preserve">Black </w:t>
      </w:r>
      <w:r>
        <w:t>women were further marginalised. Many were excluded from formal employment and relied on subsistence farming, which was undermined by forced removals and land dispossession. This historical context laid the foundation for the intersecting oppressions of race, gender, and class that continue to shape land reform efforts today.</w:t>
      </w:r>
    </w:p>
    <w:p w14:paraId="3185C767" w14:textId="4CD1D66B" w:rsidR="00B23EB8" w:rsidRDefault="00B23EB8" w:rsidP="00804F56">
      <w:pPr>
        <w:pStyle w:val="ListLevel1"/>
      </w:pPr>
      <w:r w:rsidRPr="00B23EB8">
        <w:t xml:space="preserve">Land dispossession is not a neutral process; it is deeply gendered and shaped by intersecting systems of oppression, including race, class, and ethnicity. </w:t>
      </w:r>
      <w:r w:rsidR="00E26CD4">
        <w:t>Black w</w:t>
      </w:r>
      <w:r w:rsidRPr="00B23EB8">
        <w:t xml:space="preserve">omen, particularly those </w:t>
      </w:r>
      <w:r>
        <w:t>pushed to the margins</w:t>
      </w:r>
      <w:r w:rsidRPr="00B23EB8">
        <w:t>, often bear the brunt of land dispossession due to systemic inequalities embedded in legal, cultural, and economic structures.</w:t>
      </w:r>
    </w:p>
    <w:p w14:paraId="0E026500" w14:textId="339A2DD5" w:rsidR="00B23EB8" w:rsidRDefault="00B23EB8" w:rsidP="00804F56">
      <w:pPr>
        <w:pStyle w:val="ListLevel1"/>
      </w:pPr>
      <w:r w:rsidRPr="00B23EB8">
        <w:t xml:space="preserve">Apartheid land laws intersected with patriarchal norms to doubly marginalise Black women as Black people, and as women. Today, </w:t>
      </w:r>
      <w:r w:rsidR="00E26CD4">
        <w:t xml:space="preserve">Black </w:t>
      </w:r>
      <w:r w:rsidRPr="00B23EB8">
        <w:t>women continue to face systemic exclusion from</w:t>
      </w:r>
      <w:r w:rsidR="00C12FD3">
        <w:t xml:space="preserve"> </w:t>
      </w:r>
      <w:r w:rsidRPr="00B23EB8">
        <w:t xml:space="preserve">land reform processes. As Esther Makhetha’s intersectional analysis of rural women farmers in Limpopo shows; class, gender, and age continue to mediate </w:t>
      </w:r>
      <w:r w:rsidR="00DB1A9C" w:rsidRPr="00B23EB8">
        <w:t>acces</w:t>
      </w:r>
      <w:r w:rsidR="00DB1A9C">
        <w:t>s</w:t>
      </w:r>
      <w:r w:rsidRPr="00B23EB8">
        <w:t xml:space="preserve"> to land. While elite and well-connected women sometimes benefit from land redistribution, many rural Black women remain excluded, undermined by bureaucratic barriers, traditional patriarchal structures, and insecure </w:t>
      </w:r>
      <w:r w:rsidRPr="00B23EB8">
        <w:lastRenderedPageBreak/>
        <w:t xml:space="preserve">tenure. </w:t>
      </w:r>
      <w:r w:rsidR="00DB1A9C">
        <w:t xml:space="preserve">Esther Makhetha’s </w:t>
      </w:r>
      <w:r w:rsidR="005241B4">
        <w:t xml:space="preserve">article </w:t>
      </w:r>
      <w:r w:rsidR="009E7D69">
        <w:t xml:space="preserve">is </w:t>
      </w:r>
      <w:r w:rsidR="00DB1A9C">
        <w:t xml:space="preserve">attached hereto as </w:t>
      </w:r>
      <w:r w:rsidR="00DB1A9C" w:rsidRPr="005342E0">
        <w:t xml:space="preserve">annexure </w:t>
      </w:r>
      <w:r w:rsidR="009E7D69" w:rsidRPr="005342E0">
        <w:t>“</w:t>
      </w:r>
      <w:r w:rsidR="00314AB9" w:rsidRPr="005342E0">
        <w:rPr>
          <w:b/>
          <w:bCs/>
        </w:rPr>
        <w:t>GV5</w:t>
      </w:r>
      <w:proofErr w:type="gramStart"/>
      <w:r w:rsidR="00314AB9" w:rsidRPr="00B54E53">
        <w:t>”</w:t>
      </w:r>
      <w:proofErr w:type="gramEnd"/>
      <w:r w:rsidR="00EC144A">
        <w:t xml:space="preserve"> and the relevant section of this analysis is at pages 3 – 6 of the annexure. </w:t>
      </w:r>
      <w:r w:rsidR="00DB1A9C">
        <w:t xml:space="preserve"> </w:t>
      </w:r>
    </w:p>
    <w:p w14:paraId="3434F8E2" w14:textId="085CF46C" w:rsidR="00B23EB8" w:rsidRDefault="00B23EB8" w:rsidP="00804F56">
      <w:pPr>
        <w:pStyle w:val="ListLevel1"/>
      </w:pPr>
      <w:r>
        <w:t>Historically, patriarchal systems have excluded women from land ownership and decision-making. In many societies, land rights are tied to male lineage or marital status, leaving women vulnerable to losing access to land through divorce, widowhood, or displacement. This lack of secure tenure undermines women’s ability to sustain livelihoods, access resources, and participate in agricultural economies.</w:t>
      </w:r>
    </w:p>
    <w:p w14:paraId="0E4B573E" w14:textId="40F9CF49" w:rsidR="00B23EB8" w:rsidRDefault="00B23EB8" w:rsidP="00804F56">
      <w:pPr>
        <w:pStyle w:val="ListLevel1"/>
      </w:pPr>
      <w:r>
        <w:t>Moreover, women’s contributions to land-based activities, such as farming and resource management, are often undervalued or overlooked. This marginalisation perpetuates cycles of poverty and inequality, as women are denied the tools and opportunities needed to thrive.</w:t>
      </w:r>
    </w:p>
    <w:p w14:paraId="7B7A8FEA" w14:textId="418395BD" w:rsidR="00997AD8" w:rsidRDefault="00997AD8" w:rsidP="00804F56">
      <w:pPr>
        <w:pStyle w:val="ListLevel1"/>
      </w:pPr>
      <w:r w:rsidRPr="00997AD8">
        <w:t>Similarly, women from lower socio-economic backgrounds are disproportionately affected by land grabs and forced evictions. Without the financial means or legal support to contest these actions, they are left with limited options for rebuilding their live</w:t>
      </w:r>
      <w:r w:rsidR="00C12FD3">
        <w:t xml:space="preserve">s. </w:t>
      </w:r>
    </w:p>
    <w:bookmarkEnd w:id="2"/>
    <w:p w14:paraId="75BDFE45" w14:textId="5AEEEC5C" w:rsidR="61B045BF" w:rsidRPr="004815F8" w:rsidRDefault="117C024E" w:rsidP="00804F56">
      <w:pPr>
        <w:pStyle w:val="ListLevel1"/>
      </w:pPr>
      <w:r w:rsidRPr="002072EC">
        <w:t>Furthermore, a</w:t>
      </w:r>
      <w:r w:rsidR="61B045BF" w:rsidRPr="002072EC">
        <w:t>s Claassens argue</w:t>
      </w:r>
      <w:r w:rsidR="2450386A" w:rsidRPr="002072EC">
        <w:t>s</w:t>
      </w:r>
      <w:r w:rsidR="61B045BF" w:rsidRPr="002072EC">
        <w:t xml:space="preserve">, the codification of customary law in post-apartheid legislation such as the Communal Land Rights Act has reinforced patriarchal governance structures and undermined the more fluid and negotiated forms of living customary law that previously enabled </w:t>
      </w:r>
      <w:r w:rsidR="61B045BF" w:rsidRPr="002072EC">
        <w:lastRenderedPageBreak/>
        <w:t>women’s land access.</w:t>
      </w:r>
      <w:r w:rsidR="285E3649" w:rsidRPr="002072EC">
        <w:rPr>
          <w:rStyle w:val="FootnoteReference"/>
          <w:rFonts w:cs="Arial"/>
          <w:szCs w:val="24"/>
        </w:rPr>
        <w:t xml:space="preserve"> </w:t>
      </w:r>
      <w:r w:rsidR="61B045BF" w:rsidRPr="002072EC">
        <w:t>The result is a dual injustice where there are formal rights without real remedies, and recognition without redistribution.</w:t>
      </w:r>
      <w:r w:rsidR="00DB1A9C">
        <w:t xml:space="preserve"> </w:t>
      </w:r>
      <w:proofErr w:type="spellStart"/>
      <w:r w:rsidR="00ED242C">
        <w:t>Claasens</w:t>
      </w:r>
      <w:proofErr w:type="spellEnd"/>
      <w:r w:rsidR="00ED242C">
        <w:t xml:space="preserve">’ chapter is attached </w:t>
      </w:r>
      <w:r w:rsidR="00DB1A9C">
        <w:t xml:space="preserve">hereto </w:t>
      </w:r>
      <w:r w:rsidR="00DB1A9C" w:rsidRPr="004815F8">
        <w:t xml:space="preserve">as </w:t>
      </w:r>
      <w:r w:rsidR="00DB1A9C" w:rsidRPr="00ED242C">
        <w:t xml:space="preserve">annexure </w:t>
      </w:r>
      <w:r w:rsidR="004815F8" w:rsidRPr="00ED242C">
        <w:t>“</w:t>
      </w:r>
      <w:r w:rsidR="00C0307B" w:rsidRPr="00ED242C">
        <w:rPr>
          <w:b/>
          <w:bCs/>
        </w:rPr>
        <w:t>GV6</w:t>
      </w:r>
      <w:proofErr w:type="gramStart"/>
      <w:r w:rsidR="00C0307B" w:rsidRPr="00ED242C">
        <w:t>”</w:t>
      </w:r>
      <w:proofErr w:type="gramEnd"/>
      <w:r w:rsidR="00DB1A9C" w:rsidRPr="004815F8">
        <w:t xml:space="preserve"> </w:t>
      </w:r>
      <w:r w:rsidR="00ED242C">
        <w:t xml:space="preserve">and the relevant </w:t>
      </w:r>
      <w:r w:rsidR="00EC144A">
        <w:t>section</w:t>
      </w:r>
      <w:r w:rsidR="00ED242C">
        <w:t xml:space="preserve"> of this argument is at pages 278 – 290 of the annexure. </w:t>
      </w:r>
    </w:p>
    <w:p w14:paraId="2CA6D44C" w14:textId="600F8576" w:rsidR="00B23EB8" w:rsidRPr="004815F8" w:rsidRDefault="4D7E7C60" w:rsidP="00804F56">
      <w:pPr>
        <w:pStyle w:val="ListLevel1"/>
      </w:pPr>
      <w:r w:rsidRPr="004815F8">
        <w:t xml:space="preserve">This dynamic is illustrative of what </w:t>
      </w:r>
      <w:r w:rsidR="00A04879" w:rsidRPr="004815F8">
        <w:t xml:space="preserve">Professor </w:t>
      </w:r>
      <w:r w:rsidRPr="004815F8">
        <w:t>Tshepo Madlingozi critiques as ‘neo-apartheid constitutionalism’, a legal order that incorporates previously excluded groups through the language of rights, but without disrupting the underlying structures of power and wealth.</w:t>
      </w:r>
      <w:r w:rsidR="43BB9139" w:rsidRPr="004815F8">
        <w:rPr>
          <w:rStyle w:val="FootnoteReference"/>
          <w:rFonts w:cs="Arial"/>
          <w:szCs w:val="24"/>
        </w:rPr>
        <w:t xml:space="preserve"> </w:t>
      </w:r>
      <w:r w:rsidRPr="004815F8">
        <w:t>Under this framework, symbolic recognition is prioritised over material transformation, and the substantive promises of the Constitution such as dignity, equality</w:t>
      </w:r>
      <w:r w:rsidR="477A5741" w:rsidRPr="004815F8">
        <w:t xml:space="preserve"> and</w:t>
      </w:r>
      <w:r w:rsidRPr="004815F8">
        <w:t xml:space="preserve"> land remain deferred for many</w:t>
      </w:r>
      <w:r w:rsidR="00B23EB8" w:rsidRPr="004815F8">
        <w:t xml:space="preserve">. </w:t>
      </w:r>
      <w:r w:rsidR="00DB1A9C" w:rsidRPr="004815F8">
        <w:t>Professor Madlingozi’s</w:t>
      </w:r>
      <w:r w:rsidR="004815F8" w:rsidRPr="005342E0">
        <w:t xml:space="preserve"> article</w:t>
      </w:r>
      <w:r w:rsidR="00DB1A9C" w:rsidRPr="004815F8">
        <w:t xml:space="preserve"> </w:t>
      </w:r>
      <w:r w:rsidR="004815F8" w:rsidRPr="005342E0">
        <w:t>is</w:t>
      </w:r>
      <w:r w:rsidR="00DB1A9C" w:rsidRPr="004815F8">
        <w:t xml:space="preserve"> attached hereto as </w:t>
      </w:r>
      <w:r w:rsidR="00DB1A9C" w:rsidRPr="005342E0">
        <w:t xml:space="preserve">annexure </w:t>
      </w:r>
      <w:r w:rsidR="001358D7" w:rsidRPr="005342E0">
        <w:t>“</w:t>
      </w:r>
      <w:r w:rsidR="004860E8" w:rsidRPr="005342E0">
        <w:rPr>
          <w:b/>
          <w:bCs/>
        </w:rPr>
        <w:t>GV7</w:t>
      </w:r>
      <w:r w:rsidR="004860E8" w:rsidRPr="005342E0">
        <w:t>”</w:t>
      </w:r>
      <w:r w:rsidR="00DB1A9C" w:rsidRPr="005342E0">
        <w:t>.</w:t>
      </w:r>
      <w:r w:rsidR="00DB1A9C" w:rsidRPr="004815F8">
        <w:t xml:space="preserve"> </w:t>
      </w:r>
    </w:p>
    <w:p w14:paraId="2941DC77" w14:textId="70144B66" w:rsidR="00997AD8" w:rsidRDefault="00997AD8" w:rsidP="00804F56">
      <w:pPr>
        <w:pStyle w:val="ListLevel1"/>
      </w:pPr>
      <w:r w:rsidRPr="00997AD8">
        <w:t>Despite constitutional guarantees for gender eq</w:t>
      </w:r>
      <w:r w:rsidR="00DB1A9C">
        <w:t>uity</w:t>
      </w:r>
      <w:r w:rsidRPr="00997AD8">
        <w:t xml:space="preserve">, the implementation of land reform policies has been slow and uneven. </w:t>
      </w:r>
      <w:r w:rsidR="00E26CD4">
        <w:t>Black w</w:t>
      </w:r>
      <w:r w:rsidRPr="00997AD8">
        <w:t xml:space="preserve">omen are frequently excluded from decision-making processes, and traditional leadership structures often reinforce patriarchal norms. Furthermore, the lack of gender-sensitive policies in land redistribution programs limits women’s ability to benefit from these initiatives. Access to financial resources, education, and legal support also remains a significant barrier for many </w:t>
      </w:r>
      <w:r w:rsidR="00E26CD4">
        <w:t xml:space="preserve">Black </w:t>
      </w:r>
      <w:r w:rsidRPr="00997AD8">
        <w:t>women seeking to claim land right</w:t>
      </w:r>
      <w:r w:rsidR="00C12FD3">
        <w:t>s</w:t>
      </w:r>
      <w:r>
        <w:t>.</w:t>
      </w:r>
    </w:p>
    <w:p w14:paraId="798BCD07" w14:textId="33C5D76B" w:rsidR="00997AD8" w:rsidRPr="00400FC9" w:rsidRDefault="00C12FD3" w:rsidP="00804F56">
      <w:pPr>
        <w:pStyle w:val="ListLevel1"/>
      </w:pPr>
      <w:r>
        <w:lastRenderedPageBreak/>
        <w:t>Furthermore, t</w:t>
      </w:r>
      <w:r w:rsidR="00997AD8" w:rsidRPr="00997AD8">
        <w:t xml:space="preserve">he dispossession of land disproportionately affected </w:t>
      </w:r>
      <w:r w:rsidR="00E26CD4">
        <w:t xml:space="preserve">Black </w:t>
      </w:r>
      <w:r w:rsidR="00997AD8" w:rsidRPr="00997AD8">
        <w:t>women in several ways:</w:t>
      </w:r>
    </w:p>
    <w:p w14:paraId="034571BE" w14:textId="79D98CCB" w:rsidR="00997AD8" w:rsidRDefault="00997AD8" w:rsidP="00804F56">
      <w:pPr>
        <w:pStyle w:val="ListLevel2"/>
      </w:pPr>
      <w:r>
        <w:t>First, e</w:t>
      </w:r>
      <w:r w:rsidRPr="00997AD8">
        <w:t xml:space="preserve">conomic </w:t>
      </w:r>
      <w:r>
        <w:t>m</w:t>
      </w:r>
      <w:r w:rsidRPr="00997AD8">
        <w:t>arginali</w:t>
      </w:r>
      <w:r>
        <w:t>s</w:t>
      </w:r>
      <w:r w:rsidRPr="00997AD8">
        <w:t>ation</w:t>
      </w:r>
      <w:r w:rsidR="00E26CD4">
        <w:t>:</w:t>
      </w:r>
      <w:r>
        <w:t xml:space="preserve"> </w:t>
      </w:r>
      <w:r w:rsidRPr="00997AD8">
        <w:t xml:space="preserve">without access to land, </w:t>
      </w:r>
      <w:r w:rsidR="00E26CD4">
        <w:t xml:space="preserve">Black </w:t>
      </w:r>
      <w:r w:rsidRPr="00997AD8">
        <w:t>women lost a critical source of livelihood. Many were forced into low-paying domestic or agricultural labour, perpetuating cycles of poverty.</w:t>
      </w:r>
    </w:p>
    <w:p w14:paraId="1A294497" w14:textId="7351063B" w:rsidR="00997AD8" w:rsidRPr="00997AD8" w:rsidRDefault="00997AD8" w:rsidP="00804F56">
      <w:pPr>
        <w:pStyle w:val="ListLevel2"/>
      </w:pPr>
      <w:r>
        <w:t>Second, l</w:t>
      </w:r>
      <w:r w:rsidRPr="00997AD8">
        <w:t xml:space="preserve">and ownership is often linked to social status and decision-making power. The exclusion of </w:t>
      </w:r>
      <w:r w:rsidR="00E26CD4">
        <w:t xml:space="preserve">Black </w:t>
      </w:r>
      <w:r w:rsidRPr="00997AD8">
        <w:t>women from land ownership reinforced their subordinate position in both family and community structures.</w:t>
      </w:r>
    </w:p>
    <w:p w14:paraId="239BD53E" w14:textId="2EBAAB92" w:rsidR="00B23EB8" w:rsidRPr="00997AD8" w:rsidRDefault="00997AD8" w:rsidP="00804F56">
      <w:pPr>
        <w:pStyle w:val="ListLevel2"/>
      </w:pPr>
      <w:r>
        <w:t>Third, d</w:t>
      </w:r>
      <w:r w:rsidRPr="00997AD8">
        <w:t xml:space="preserve">ispossession increased </w:t>
      </w:r>
      <w:r w:rsidR="00E26CD4">
        <w:t xml:space="preserve">Black </w:t>
      </w:r>
      <w:r w:rsidRPr="00997AD8">
        <w:t>women’s vulnerability to gender-based violence. Forced removals often disrupted community networks, leaving women without support system</w:t>
      </w:r>
      <w:r>
        <w:t xml:space="preserve">s. </w:t>
      </w:r>
    </w:p>
    <w:p w14:paraId="49F803CB" w14:textId="16822F27" w:rsidR="000A6A6B" w:rsidRPr="002072EC" w:rsidRDefault="00C12FD3" w:rsidP="00804F56">
      <w:pPr>
        <w:pStyle w:val="ListLevel1"/>
      </w:pPr>
      <w:r>
        <w:t>Consequently, CALS submits that l</w:t>
      </w:r>
      <w:r w:rsidR="4D90F7AA" w:rsidRPr="002072EC">
        <w:t xml:space="preserve">and reform must be interpreted </w:t>
      </w:r>
      <w:r w:rsidR="00B23EB8" w:rsidRPr="002072EC">
        <w:t>considering</w:t>
      </w:r>
      <w:r w:rsidR="4D90F7AA" w:rsidRPr="002072EC">
        <w:t xml:space="preserve"> its constitutional purpose, to redress historical injustice and to enable equitable </w:t>
      </w:r>
      <w:r w:rsidR="019FBFDE" w:rsidRPr="002072EC">
        <w:t xml:space="preserve">right </w:t>
      </w:r>
      <w:r w:rsidR="4D90F7AA" w:rsidRPr="002072EC">
        <w:t xml:space="preserve">to land. We </w:t>
      </w:r>
      <w:r w:rsidR="2C804F1C" w:rsidRPr="002072EC">
        <w:t xml:space="preserve">will </w:t>
      </w:r>
      <w:r w:rsidR="4D90F7AA" w:rsidRPr="002072EC">
        <w:t xml:space="preserve">submit that failure to meaningfully address colonial and apartheid-era dispossession constitutes an ongoing breach of the </w:t>
      </w:r>
      <w:r w:rsidR="00C55CC1">
        <w:t>s</w:t>
      </w:r>
      <w:r w:rsidR="4D90F7AA" w:rsidRPr="002072EC">
        <w:t>tate’s constitutional obligations.</w:t>
      </w:r>
    </w:p>
    <w:p w14:paraId="10507BDE" w14:textId="109D4413" w:rsidR="00125A20" w:rsidRPr="002072EC" w:rsidRDefault="00125A20" w:rsidP="00DB1A9C">
      <w:pPr>
        <w:pStyle w:val="Heading1"/>
        <w:numPr>
          <w:ilvl w:val="0"/>
          <w:numId w:val="44"/>
        </w:numPr>
        <w:rPr>
          <w:sz w:val="24"/>
          <w:szCs w:val="24"/>
        </w:rPr>
      </w:pPr>
      <w:r w:rsidRPr="002072EC">
        <w:rPr>
          <w:sz w:val="24"/>
          <w:szCs w:val="24"/>
        </w:rPr>
        <w:lastRenderedPageBreak/>
        <w:t xml:space="preserve">comparative </w:t>
      </w:r>
      <w:r w:rsidR="00E26CD4">
        <w:rPr>
          <w:sz w:val="24"/>
          <w:szCs w:val="24"/>
        </w:rPr>
        <w:t xml:space="preserve">International and </w:t>
      </w:r>
      <w:r w:rsidRPr="002072EC">
        <w:rPr>
          <w:sz w:val="24"/>
          <w:szCs w:val="24"/>
        </w:rPr>
        <w:t>foreign law</w:t>
      </w:r>
      <w:r w:rsidR="64A1C6A1" w:rsidRPr="002072EC">
        <w:rPr>
          <w:sz w:val="24"/>
          <w:szCs w:val="24"/>
        </w:rPr>
        <w:t xml:space="preserve"> </w:t>
      </w:r>
      <w:r w:rsidR="00E26CD4">
        <w:rPr>
          <w:sz w:val="24"/>
          <w:szCs w:val="24"/>
        </w:rPr>
        <w:t xml:space="preserve">ON </w:t>
      </w:r>
      <w:r w:rsidR="64A1C6A1" w:rsidRPr="002072EC">
        <w:rPr>
          <w:sz w:val="24"/>
          <w:szCs w:val="24"/>
        </w:rPr>
        <w:t>remedial principles</w:t>
      </w:r>
    </w:p>
    <w:p w14:paraId="31FE1AE8" w14:textId="5DF760E7" w:rsidR="00FA2A73" w:rsidRDefault="00FA2A73" w:rsidP="00804F56">
      <w:pPr>
        <w:pStyle w:val="ListLevel1"/>
      </w:pPr>
      <w:r w:rsidRPr="002072EC">
        <w:t>CALS will make submissions that there are examples</w:t>
      </w:r>
      <w:r w:rsidR="00E26CD4">
        <w:t xml:space="preserve"> from other jurisdictions</w:t>
      </w:r>
      <w:r w:rsidRPr="002072EC">
        <w:t xml:space="preserve"> where courts </w:t>
      </w:r>
      <w:r w:rsidR="00DB1A9C">
        <w:t xml:space="preserve">and </w:t>
      </w:r>
      <w:r w:rsidR="00DB1A9C" w:rsidRPr="002072EC">
        <w:t>tribunals</w:t>
      </w:r>
      <w:r w:rsidRPr="002072EC">
        <w:t xml:space="preserve"> have ordered the state to introduce or reform legislation where there are failures in the current legal frameworks. </w:t>
      </w:r>
      <w:r w:rsidR="0064220B">
        <w:t xml:space="preserve"> Th</w:t>
      </w:r>
      <w:r w:rsidR="0064220B" w:rsidRPr="0064220B">
        <w:t>ese examples highlight the judiciary's role in addressing legislative gaps or inadequacies that undermine constitutional rights or fail to meet societal needs.</w:t>
      </w:r>
    </w:p>
    <w:p w14:paraId="0757A2E2" w14:textId="78B9011C" w:rsidR="00DF3E9E" w:rsidRDefault="00DF3E9E" w:rsidP="00804F56">
      <w:pPr>
        <w:pStyle w:val="ListLevel1"/>
      </w:pPr>
      <w:r w:rsidRPr="00DF3E9E">
        <w:t>This perspective is crucial because any court interpreting the rights enshrined in the Bill of Rights, as mandated by section 39(1)(b) of the Constitution, is to consider international law. Additionally, under section 39(1)(c), court</w:t>
      </w:r>
      <w:r w:rsidR="00E26CD4">
        <w:t>s are encouraged to</w:t>
      </w:r>
      <w:r w:rsidRPr="00DF3E9E">
        <w:t xml:space="preserve"> take foreign law into account. CALS' intervention, therefore, plays a significant role in aiding the </w:t>
      </w:r>
      <w:r w:rsidR="00895B4D">
        <w:t>C</w:t>
      </w:r>
      <w:r w:rsidRPr="00DF3E9E">
        <w:t xml:space="preserve">ourt to fulfil its interpretive duties as outlined by the Constitution, ensuring that its approach aligns with both international and comparative </w:t>
      </w:r>
      <w:r w:rsidR="00CB3791">
        <w:t>jurisprudence</w:t>
      </w:r>
      <w:r w:rsidR="009670F5">
        <w:t xml:space="preserve">. </w:t>
      </w:r>
    </w:p>
    <w:p w14:paraId="56C20239" w14:textId="18EB0879" w:rsidR="00B23010" w:rsidRDefault="009670F5" w:rsidP="00804F56">
      <w:pPr>
        <w:pStyle w:val="ListLevel1"/>
      </w:pPr>
      <w:r>
        <w:t>CALS submits that i</w:t>
      </w:r>
      <w:r w:rsidR="00B23010">
        <w:t>n constitutional adjudication, referencing foreign law can provide valuable insights and comparative perspectives. While each country</w:t>
      </w:r>
      <w:r w:rsidR="00451991">
        <w:t>’</w:t>
      </w:r>
      <w:r w:rsidR="00B23010">
        <w:t xml:space="preserve">s </w:t>
      </w:r>
      <w:r w:rsidR="00895B4D">
        <w:t>C</w:t>
      </w:r>
      <w:r w:rsidR="00B23010">
        <w:t>onstitution is unique, foreign legal systems often grapple with similar issues, offering lessons and innovative approaches that can inform domestic decision-making.</w:t>
      </w:r>
    </w:p>
    <w:p w14:paraId="3E99F3DE" w14:textId="60561287" w:rsidR="00B23010" w:rsidRDefault="00380294" w:rsidP="00804F56">
      <w:pPr>
        <w:pStyle w:val="ListLevel1"/>
      </w:pPr>
      <w:r>
        <w:lastRenderedPageBreak/>
        <w:t>CALS submits that e</w:t>
      </w:r>
      <w:r w:rsidR="00B23010">
        <w:t xml:space="preserve">xamining foreign law allows judges to consider how other jurisdictions have addressed comparable constitutional questions. </w:t>
      </w:r>
      <w:r w:rsidR="00EC2FB8">
        <w:t>Further, f</w:t>
      </w:r>
      <w:r w:rsidR="00B23010">
        <w:t xml:space="preserve">oreign legal principles can inspire creative interpretations or new frameworks for addressing constitutional challenges. </w:t>
      </w:r>
    </w:p>
    <w:p w14:paraId="0A4B16F6" w14:textId="632178C7" w:rsidR="00B23010" w:rsidRPr="00B23010" w:rsidRDefault="00895B4D" w:rsidP="00804F56">
      <w:pPr>
        <w:pStyle w:val="ListLevel1"/>
      </w:pPr>
      <w:r>
        <w:t>Furthermore,</w:t>
      </w:r>
      <w:r w:rsidR="00EF24E7">
        <w:t xml:space="preserve"> w</w:t>
      </w:r>
      <w:r w:rsidR="00B23010">
        <w:t>hile foreign law should not dictate outcomes, it serves as a valuable resource for enriching constitutional interpretation. By engaging with diverse legal systems, courts can better navigate complex issues and uphold constitutional values in a dynamic and evolving world.</w:t>
      </w:r>
      <w:r>
        <w:t xml:space="preserve"> CALS will use the following examples for this purpose:</w:t>
      </w:r>
    </w:p>
    <w:p w14:paraId="1B5C36A0" w14:textId="269BA51A" w:rsidR="00460C4D" w:rsidRPr="00C17C33" w:rsidRDefault="00460C4D" w:rsidP="00C17C33">
      <w:pPr>
        <w:pStyle w:val="Heading3"/>
      </w:pPr>
      <w:r w:rsidRPr="00460C4D">
        <w:t>India</w:t>
      </w:r>
    </w:p>
    <w:p w14:paraId="24D4CD2D" w14:textId="3EC759B2" w:rsidR="002D192B" w:rsidRDefault="002D192B" w:rsidP="00804F56">
      <w:pPr>
        <w:pStyle w:val="ListLevel1"/>
      </w:pPr>
      <w:r>
        <w:t xml:space="preserve">In India, the Supreme Court in </w:t>
      </w:r>
      <w:r w:rsidRPr="00C17C33">
        <w:rPr>
          <w:i/>
          <w:iCs/>
        </w:rPr>
        <w:t>Vishaka and Others v State of Rajasthan AIR 1997 SC 3011</w:t>
      </w:r>
      <w:r>
        <w:t xml:space="preserve"> provides a significant example of courts issuing judicial guidelines to preserve and enforce rights. In this case, the Court introduced the </w:t>
      </w:r>
      <w:r w:rsidRPr="00B20A15">
        <w:rPr>
          <w:i/>
          <w:iCs/>
        </w:rPr>
        <w:t>Vishaka</w:t>
      </w:r>
      <w:r>
        <w:t xml:space="preserve"> Guidelines in 1997 to address the absence of legislation on sexual harassment of women in the workplace. These procedural guidelines were judicially crafted to establish a framework for addressing workplace harassment until Parliament enacted specific legislation. Notably, it took Parliament sixteen years to pass the Sexual Harassment of Women at Workplace (Prevention, Prohibition and Redressal) Act in 2013.</w:t>
      </w:r>
    </w:p>
    <w:p w14:paraId="4EF760BC" w14:textId="28E793AA" w:rsidR="002D192B" w:rsidRDefault="002D192B" w:rsidP="00804F56">
      <w:pPr>
        <w:pStyle w:val="ListLevel1"/>
      </w:pPr>
      <w:r>
        <w:lastRenderedPageBreak/>
        <w:t>This case highlights the judiciary's role in filling legislative gaps to protect fundamental rights. However, it also raises questions about the effectiveness of judicial directives in prompting timely legislative action. While such directives provide an interim solution to safeguard rights, they may not always result in swift legislative reform, as evidenced by the significant delay in this instance.</w:t>
      </w:r>
    </w:p>
    <w:p w14:paraId="5425454C" w14:textId="2C475A85" w:rsidR="002D192B" w:rsidRDefault="002D192B" w:rsidP="00804F56">
      <w:pPr>
        <w:pStyle w:val="ListLevel1"/>
      </w:pPr>
      <w:r>
        <w:t xml:space="preserve">The </w:t>
      </w:r>
      <w:r w:rsidRPr="00DB1A9C">
        <w:rPr>
          <w:i/>
          <w:iCs/>
        </w:rPr>
        <w:t>Vishaka</w:t>
      </w:r>
      <w:r>
        <w:t xml:space="preserve"> case also underscores the importance of judicial intervention in contexts where legislative inertia or inaction leaves critical rights unprotected. By issuing these guidelines, the Court ensured that there was at least a temporary mechanism to address workplace harassment, thereby preventing a complete vacuum in legal protections. This demonstrates how courts can act as catalysts for change, even if the legislative process remains slow.</w:t>
      </w:r>
    </w:p>
    <w:p w14:paraId="1D08F0A0" w14:textId="7D726518" w:rsidR="002D192B" w:rsidRDefault="002D192B" w:rsidP="00804F56">
      <w:pPr>
        <w:pStyle w:val="ListLevel1"/>
      </w:pPr>
      <w:r>
        <w:t>Additionally, the case illustrates the interplay between the judiciary and the legislature in advancing social justice. While the judiciary can step in to address urgent gaps, the ultimate responsibility for enacting comprehensive and enforceable laws lies with the legislature. The delay in passing legislation in this case reflects broader systemic challenges, such as political will, prioriti</w:t>
      </w:r>
      <w:r w:rsidR="00623303">
        <w:t>s</w:t>
      </w:r>
      <w:r>
        <w:t>ation of issues, and bureaucratic processes, which can hinder timely legislative action.</w:t>
      </w:r>
    </w:p>
    <w:p w14:paraId="4B99F073" w14:textId="7B03F427" w:rsidR="002D192B" w:rsidRDefault="002D192B" w:rsidP="00804F56">
      <w:pPr>
        <w:pStyle w:val="ListLevel1"/>
      </w:pPr>
      <w:r>
        <w:lastRenderedPageBreak/>
        <w:t>This example serves as a reminder that judicial directives, while impactful, are not a substitute for robust legislative frameworks. They are often a stopgap measure, highlighting the need for a more responsive and proactive legislative process to address pressing societal issues.</w:t>
      </w:r>
    </w:p>
    <w:p w14:paraId="5AEC0B62" w14:textId="5BE5D781" w:rsidR="00460C4D" w:rsidRPr="00460C4D" w:rsidRDefault="00460C4D" w:rsidP="00C17C33">
      <w:pPr>
        <w:pStyle w:val="Heading3"/>
      </w:pPr>
      <w:r w:rsidRPr="00460C4D">
        <w:t>Bangladesh</w:t>
      </w:r>
    </w:p>
    <w:p w14:paraId="0AB6FB0C" w14:textId="16073FA1" w:rsidR="00F47550" w:rsidRDefault="00F47550" w:rsidP="00804F56">
      <w:pPr>
        <w:pStyle w:val="ListLevel1"/>
      </w:pPr>
      <w:r>
        <w:t xml:space="preserve">In Bangladesh, the Supreme Court in </w:t>
      </w:r>
      <w:r w:rsidRPr="00C17C33">
        <w:rPr>
          <w:i/>
          <w:iCs/>
        </w:rPr>
        <w:t>Bangladesh National Women’s Lawyers Association v. Government of Bangladesh</w:t>
      </w:r>
      <w:r>
        <w:t xml:space="preserve">, 14 May 2009, Petition No. 5916 of 2008, issued judicial guidelines where there were no legislative provisions to address sexual harassment of women and girl children. The </w:t>
      </w:r>
      <w:r w:rsidR="00895B4D">
        <w:t>C</w:t>
      </w:r>
      <w:r>
        <w:t xml:space="preserve">ourt recognised the urgent need to fill the legislative gap and took proactive measures to protect the rights and dignity of women and girls. These guidelines were modelled on international conventions and best practices, emphasizing the importance of creating a safe environment free from harassment. </w:t>
      </w:r>
    </w:p>
    <w:p w14:paraId="59EF3450" w14:textId="1480915D" w:rsidR="00F47550" w:rsidRDefault="00F47550" w:rsidP="00804F56">
      <w:pPr>
        <w:pStyle w:val="ListLevel1"/>
      </w:pPr>
      <w:r>
        <w:t>The guidelines outlined preventive measures, complaint mechanisms, and redressal processes to address sexual harassment effectively. They mandated the establishment of complaint committees in workplaces and educational institutions, ensuring representation of women in these bodies. The court also stressed the need for awareness campaigns and training programs to sensiti</w:t>
      </w:r>
      <w:r w:rsidR="00430790">
        <w:t>s</w:t>
      </w:r>
      <w:r>
        <w:t xml:space="preserve">e individuals about the issue and promote gender equality. </w:t>
      </w:r>
    </w:p>
    <w:p w14:paraId="50D5EEB0" w14:textId="62FB3678" w:rsidR="00460C4D" w:rsidRDefault="00F47550" w:rsidP="00804F56">
      <w:pPr>
        <w:pStyle w:val="ListLevel1"/>
      </w:pPr>
      <w:r>
        <w:lastRenderedPageBreak/>
        <w:t>Additionally, the judgment highlighted the responsibility of employers and authorities to ensure compliance with the guidelines and provide a safe environment for women and girls. Failure to adhere to these directives could result in legal consequences. This landmark decision not only filled a critical legal void but also set a precedent for judicial activism in safeguarding women's rights in Bangladesh.</w:t>
      </w:r>
    </w:p>
    <w:p w14:paraId="04352B35" w14:textId="31DD481A" w:rsidR="00006026" w:rsidRDefault="00006026" w:rsidP="00C17C33">
      <w:pPr>
        <w:pStyle w:val="Heading3"/>
      </w:pPr>
      <w:r>
        <w:t xml:space="preserve">Brazil </w:t>
      </w:r>
    </w:p>
    <w:p w14:paraId="62B262A2" w14:textId="0CC0912F" w:rsidR="00AF0D03" w:rsidRPr="00C17C33" w:rsidRDefault="00AF0D03" w:rsidP="00804F56">
      <w:pPr>
        <w:pStyle w:val="ListLevel1"/>
        <w:rPr>
          <w:rFonts w:ascii="Times New Roman" w:hAnsi="Times New Roman"/>
          <w:szCs w:val="24"/>
          <w:lang w:eastAsia="en-GB"/>
        </w:rPr>
      </w:pPr>
      <w:r>
        <w:t xml:space="preserve">In </w:t>
      </w:r>
      <w:r w:rsidR="00436D72" w:rsidRPr="002072EC">
        <w:rPr>
          <w:rFonts w:cs="Arial"/>
          <w:i/>
          <w:iCs/>
          <w:szCs w:val="24"/>
        </w:rPr>
        <w:t>PSB et al v Brazil</w:t>
      </w:r>
      <w:r w:rsidR="00B20A15">
        <w:rPr>
          <w:rFonts w:cs="Arial"/>
          <w:i/>
          <w:iCs/>
          <w:szCs w:val="24"/>
        </w:rPr>
        <w:t xml:space="preserve"> ADFP 708</w:t>
      </w:r>
      <w:r>
        <w:t>, the Supreme Federal Tribunal emphasi</w:t>
      </w:r>
      <w:r w:rsidR="00436D72">
        <w:t>s</w:t>
      </w:r>
      <w:r>
        <w:t xml:space="preserve">ed that the state’s positive obligations are not discretionary but mandatory. This perspective underscores the idea that the enforcement of fundamental rights cannot be left to the whims of political decision-making. Instead, the state must actively take steps to ensure that rights are protected and fulfilled. The </w:t>
      </w:r>
      <w:r w:rsidR="00895B4D">
        <w:t>Tribunal</w:t>
      </w:r>
      <w:r w:rsidR="00436D72">
        <w:t>’</w:t>
      </w:r>
      <w:r>
        <w:t>s stance reinforces the principle that the state’s inaction or regression in fulfilling its obligations could amount to a violation of constitutional rights.</w:t>
      </w:r>
    </w:p>
    <w:p w14:paraId="4DCC106C" w14:textId="11C16163" w:rsidR="00AF0D03" w:rsidRDefault="00AF0D03" w:rsidP="00804F56">
      <w:pPr>
        <w:pStyle w:val="ListLevel1"/>
      </w:pPr>
      <w:r>
        <w:t>Furthermore, the Tribunal highlighted the judiciary</w:t>
      </w:r>
      <w:r w:rsidR="008748EA">
        <w:t>’</w:t>
      </w:r>
      <w:r>
        <w:t xml:space="preserve">s role in ensuring compliance with these obligations. Courts are not merely passive observers but active participants in safeguarding rights. When the state fails to act or regresses in its enforcement of rights, the judiciary has a duty to intervene. This approach challenges the traditional separation of powers </w:t>
      </w:r>
      <w:r>
        <w:lastRenderedPageBreak/>
        <w:t>by recogni</w:t>
      </w:r>
      <w:r w:rsidR="00EF2862">
        <w:t>s</w:t>
      </w:r>
      <w:r>
        <w:t xml:space="preserve">ing that courts may need to step into areas typically reserved for the executive </w:t>
      </w:r>
      <w:r w:rsidR="00895B4D">
        <w:t xml:space="preserve">(or another arm of the state) </w:t>
      </w:r>
      <w:r>
        <w:t>to prevent rights violations.</w:t>
      </w:r>
    </w:p>
    <w:p w14:paraId="6076C7FA" w14:textId="5FDEE87E" w:rsidR="00006026" w:rsidRDefault="00AF0D03" w:rsidP="00804F56">
      <w:pPr>
        <w:pStyle w:val="ListLevel1"/>
      </w:pPr>
      <w:r>
        <w:t>This case also sets an important precedent for the broader interpretation of positive obligations under constitutional and international law. It demonstrates that courts can hold the state accountable for failing to meet its obligations, even in areas that involve complex policy decisions. By doing so, the Tribunal affirmed that the protection of rights must take precedence over political or administrative convenience, ensuring that fundamental rights remain a cornerstone of democratic governance.</w:t>
      </w:r>
    </w:p>
    <w:p w14:paraId="3022C7F0" w14:textId="1F68C2EF" w:rsidR="00D40B07" w:rsidRDefault="00D40B07" w:rsidP="00C17C33">
      <w:pPr>
        <w:pStyle w:val="Heading2"/>
      </w:pPr>
      <w:r>
        <w:t>Inter-American Court of Human Rights</w:t>
      </w:r>
    </w:p>
    <w:p w14:paraId="415D09AB" w14:textId="77777777" w:rsidR="00D40B07" w:rsidRDefault="00D40B07" w:rsidP="00804F56">
      <w:pPr>
        <w:pStyle w:val="ListLevel1"/>
      </w:pPr>
      <w:r>
        <w:t>The Inter-American Court of Human Rights (</w:t>
      </w:r>
      <w:proofErr w:type="spellStart"/>
      <w:r>
        <w:t>IACtHR</w:t>
      </w:r>
      <w:proofErr w:type="spellEnd"/>
      <w:r>
        <w:t>) has played a critical role in addressing the human rights violations arising from land dispossession, particularly its gendered impacts. Land dispossession disproportionately affects women, especially in Indigenous and rural communities, where land is not only a source of livelihood but also deeply tied to cultural identity and social structures.</w:t>
      </w:r>
    </w:p>
    <w:p w14:paraId="0D778F17" w14:textId="53D51110" w:rsidR="00D40B07" w:rsidRDefault="00D40B07" w:rsidP="00804F56">
      <w:pPr>
        <w:pStyle w:val="ListLevel1"/>
      </w:pPr>
      <w:r>
        <w:t xml:space="preserve">The </w:t>
      </w:r>
      <w:proofErr w:type="spellStart"/>
      <w:r>
        <w:t>IACtHR</w:t>
      </w:r>
      <w:proofErr w:type="spellEnd"/>
      <w:r>
        <w:t xml:space="preserve"> has recogni</w:t>
      </w:r>
      <w:r w:rsidR="005500E4">
        <w:t>s</w:t>
      </w:r>
      <w:r>
        <w:t>ed the intersection of land rights, gender, and human rights in its jurisprudence. It has issued landmark rulings that emphasi</w:t>
      </w:r>
      <w:r w:rsidR="005500E4">
        <w:t>s</w:t>
      </w:r>
      <w:r>
        <w:t xml:space="preserve">e the importance of protecting </w:t>
      </w:r>
      <w:r w:rsidR="005500E4">
        <w:t>i</w:t>
      </w:r>
      <w:r>
        <w:t xml:space="preserve">ndigenous women's rights and ensuring their participation in decisions affecting their land. For example, </w:t>
      </w:r>
      <w:r>
        <w:lastRenderedPageBreak/>
        <w:t>the Court has highlighted the need for states to adopt measures that address the structural inequalities women face in accessing land and resources.</w:t>
      </w:r>
    </w:p>
    <w:p w14:paraId="54B25B38" w14:textId="0FE03FBC" w:rsidR="00D40B07" w:rsidRDefault="00D40B07" w:rsidP="00804F56">
      <w:pPr>
        <w:pStyle w:val="ListLevel1"/>
      </w:pPr>
      <w:r>
        <w:t xml:space="preserve">In cases such as </w:t>
      </w:r>
      <w:proofErr w:type="spellStart"/>
      <w:r w:rsidRPr="00C17C33">
        <w:rPr>
          <w:i/>
          <w:iCs/>
        </w:rPr>
        <w:t>Yakye</w:t>
      </w:r>
      <w:proofErr w:type="spellEnd"/>
      <w:r w:rsidRPr="00C17C33">
        <w:rPr>
          <w:i/>
          <w:iCs/>
        </w:rPr>
        <w:t xml:space="preserve"> Axa Indigenous Community v. Paraguay</w:t>
      </w:r>
      <w:r>
        <w:t xml:space="preserve"> and </w:t>
      </w:r>
      <w:proofErr w:type="spellStart"/>
      <w:r w:rsidRPr="00C17C33">
        <w:rPr>
          <w:i/>
          <w:iCs/>
        </w:rPr>
        <w:t>Sawhoyamaxa</w:t>
      </w:r>
      <w:proofErr w:type="spellEnd"/>
      <w:r w:rsidRPr="00C17C33">
        <w:rPr>
          <w:i/>
          <w:iCs/>
        </w:rPr>
        <w:t xml:space="preserve"> Indigenous Community v. Paraguay</w:t>
      </w:r>
      <w:r>
        <w:t>,</w:t>
      </w:r>
      <w:r w:rsidR="00B20A15">
        <w:t xml:space="preserve"> Judgement (</w:t>
      </w:r>
      <w:proofErr w:type="spellStart"/>
      <w:r w:rsidR="00B20A15">
        <w:t>IACtHR</w:t>
      </w:r>
      <w:proofErr w:type="spellEnd"/>
      <w:r w:rsidR="00B20A15">
        <w:t>, 17 June 2005)</w:t>
      </w:r>
      <w:r>
        <w:t xml:space="preserve"> the Court underscored the collective and cultural dimensions of land rights, while also addressing the specific vulnerabilities of women within these communities. These decisions have set important precedents for recogni</w:t>
      </w:r>
      <w:r w:rsidR="00C67296">
        <w:t>s</w:t>
      </w:r>
      <w:r>
        <w:t>ing the gendered impacts of land dispossession and the need for reparative measures.</w:t>
      </w:r>
    </w:p>
    <w:p w14:paraId="6438FAAF" w14:textId="743E516E" w:rsidR="00C32D70" w:rsidRPr="00C32D70" w:rsidRDefault="00C32D70" w:rsidP="00B20A15">
      <w:pPr>
        <w:pStyle w:val="Heading1"/>
        <w:numPr>
          <w:ilvl w:val="0"/>
          <w:numId w:val="44"/>
        </w:numPr>
      </w:pPr>
      <w:r w:rsidRPr="00A505D5">
        <w:t xml:space="preserve">Remedy </w:t>
      </w:r>
    </w:p>
    <w:p w14:paraId="3E263E8A" w14:textId="04838B56" w:rsidR="00F27C7C" w:rsidRDefault="00F27C7C" w:rsidP="00804F56">
      <w:pPr>
        <w:pStyle w:val="ListLevel1"/>
      </w:pPr>
      <w:r>
        <w:t xml:space="preserve">CALS will make submissions regarding South Africa's obligation under international law to “eradicate” apartheid, and the consequences of this obligation for the relief sought by the applicant. </w:t>
      </w:r>
    </w:p>
    <w:p w14:paraId="045E58F5" w14:textId="0A478A87" w:rsidR="00F27C7C" w:rsidRDefault="00F27C7C" w:rsidP="00804F56">
      <w:pPr>
        <w:pStyle w:val="ListLevel1"/>
      </w:pPr>
      <w:r>
        <w:t xml:space="preserve">Under international law, states routinely accept obligations to take “legislative and other measures” to give effect to the provisions of a treaty. For present purposes, Article 2(1)(d) of </w:t>
      </w:r>
      <w:r w:rsidR="00CB3791">
        <w:t xml:space="preserve">the International </w:t>
      </w:r>
      <w:r>
        <w:t>C</w:t>
      </w:r>
      <w:r w:rsidR="00CB3791">
        <w:t xml:space="preserve">onvention on the </w:t>
      </w:r>
      <w:r>
        <w:t>E</w:t>
      </w:r>
      <w:r w:rsidR="00CB3791">
        <w:t xml:space="preserve">limination of All Forms of </w:t>
      </w:r>
      <w:r>
        <w:t>R</w:t>
      </w:r>
      <w:r w:rsidR="00CB3791">
        <w:t xml:space="preserve">acial </w:t>
      </w:r>
      <w:r w:rsidR="00C97536">
        <w:t>Discrimination (</w:t>
      </w:r>
      <w:r w:rsidR="00CB3791">
        <w:t>“</w:t>
      </w:r>
      <w:r w:rsidR="00CB3791" w:rsidRPr="00B20A15">
        <w:rPr>
          <w:b/>
          <w:bCs/>
        </w:rPr>
        <w:t>CERD</w:t>
      </w:r>
      <w:r w:rsidR="00CB3791">
        <w:t xml:space="preserve">”) </w:t>
      </w:r>
      <w:r>
        <w:t xml:space="preserve">obliges states parties to “bring to an end, by all appropriate means, including legislation as required by circumstances, racial discrimination by any persons, group </w:t>
      </w:r>
      <w:r>
        <w:lastRenderedPageBreak/>
        <w:t>or organization”.</w:t>
      </w:r>
      <w:r w:rsidR="00B20A15">
        <w:t xml:space="preserve"> The CERD was ratified by South Africa </w:t>
      </w:r>
      <w:r w:rsidR="00A9413E">
        <w:t xml:space="preserve">in 1998 and </w:t>
      </w:r>
      <w:r w:rsidR="003A4095">
        <w:t>is</w:t>
      </w:r>
      <w:r w:rsidR="00A9413E">
        <w:t xml:space="preserve"> attached hereto as </w:t>
      </w:r>
      <w:r w:rsidR="00A9413E" w:rsidRPr="005342E0">
        <w:t xml:space="preserve">annexure </w:t>
      </w:r>
      <w:r w:rsidR="003C1A23" w:rsidRPr="005342E0">
        <w:t>“</w:t>
      </w:r>
      <w:r w:rsidR="003C1A23" w:rsidRPr="005342E0">
        <w:rPr>
          <w:b/>
          <w:bCs/>
        </w:rPr>
        <w:t>GV8</w:t>
      </w:r>
      <w:r w:rsidR="003C1A23" w:rsidRPr="00EE7B48">
        <w:t>”</w:t>
      </w:r>
      <w:r w:rsidR="00A9413E" w:rsidRPr="00EE7B48">
        <w:t>.</w:t>
      </w:r>
      <w:r w:rsidR="00A9413E">
        <w:t xml:space="preserve"> </w:t>
      </w:r>
    </w:p>
    <w:p w14:paraId="5C3A0547" w14:textId="161EE0AA" w:rsidR="00F27C7C" w:rsidRDefault="00F27C7C" w:rsidP="00804F56">
      <w:pPr>
        <w:pStyle w:val="ListLevel1"/>
      </w:pPr>
      <w:r>
        <w:t>Apartheid is a crime against humanity, and its prohibition is a peremptory norm of international law (</w:t>
      </w:r>
      <w:r w:rsidRPr="00B143D7">
        <w:rPr>
          <w:i/>
          <w:iCs/>
        </w:rPr>
        <w:t xml:space="preserve">jus </w:t>
      </w:r>
      <w:proofErr w:type="spellStart"/>
      <w:r w:rsidRPr="00B143D7">
        <w:rPr>
          <w:i/>
          <w:iCs/>
        </w:rPr>
        <w:t>cogen</w:t>
      </w:r>
      <w:proofErr w:type="spellEnd"/>
      <w:r>
        <w:t xml:space="preserve">). Under both treaty law and custom, South Africa is under the international legal obligation to “prevent, prohibit and eradicate” apartheid (see Article 3, CERD; Preamble, </w:t>
      </w:r>
      <w:r w:rsidR="00CB3791" w:rsidRPr="00CB3791">
        <w:rPr>
          <w:lang w:val="en-ZA"/>
        </w:rPr>
        <w:t>International Convention on the Suppression and Punishment of the Crime of Apartheid (</w:t>
      </w:r>
      <w:r w:rsidR="00CB3791">
        <w:t>“</w:t>
      </w:r>
      <w:r w:rsidRPr="00A9413E">
        <w:rPr>
          <w:b/>
          <w:bCs/>
        </w:rPr>
        <w:t>Apartheid Convention</w:t>
      </w:r>
      <w:r w:rsidR="00CB3791">
        <w:t>”</w:t>
      </w:r>
      <w:r>
        <w:t xml:space="preserve">). </w:t>
      </w:r>
      <w:r w:rsidR="00A9413E">
        <w:t xml:space="preserve">South Africa ratified the Apartheid Convention on 13 June </w:t>
      </w:r>
      <w:r w:rsidR="007926BE">
        <w:t>2024,</w:t>
      </w:r>
      <w:r w:rsidR="00A9413E">
        <w:t xml:space="preserve"> and </w:t>
      </w:r>
      <w:r w:rsidR="009368E9">
        <w:rPr>
          <w:lang w:val="en-ZA"/>
        </w:rPr>
        <w:t xml:space="preserve">a </w:t>
      </w:r>
      <w:r w:rsidR="009368E9" w:rsidRPr="009368E9">
        <w:rPr>
          <w:lang w:val="en-ZA"/>
        </w:rPr>
        <w:t xml:space="preserve">copy of the Convention is attached </w:t>
      </w:r>
      <w:r w:rsidR="00A9413E">
        <w:t xml:space="preserve">hereto as </w:t>
      </w:r>
      <w:r w:rsidR="00A9413E" w:rsidRPr="005342E0">
        <w:t>annexure</w:t>
      </w:r>
      <w:r w:rsidR="00E62545" w:rsidRPr="005342E0">
        <w:t xml:space="preserve"> “</w:t>
      </w:r>
      <w:r w:rsidR="00E62545" w:rsidRPr="005342E0">
        <w:rPr>
          <w:b/>
          <w:bCs/>
        </w:rPr>
        <w:t>GV9</w:t>
      </w:r>
      <w:r w:rsidR="00E62545" w:rsidRPr="005342E0">
        <w:t>”</w:t>
      </w:r>
      <w:r w:rsidR="00A9413E" w:rsidRPr="003A4095">
        <w:t>.</w:t>
      </w:r>
      <w:r w:rsidR="00A9413E">
        <w:t xml:space="preserve"> </w:t>
      </w:r>
    </w:p>
    <w:p w14:paraId="38E96A22" w14:textId="6EB9CD2C" w:rsidR="00F27C7C" w:rsidRDefault="00F27C7C" w:rsidP="00804F56">
      <w:pPr>
        <w:pStyle w:val="ListLevel1"/>
      </w:pPr>
      <w:r>
        <w:t>According to the Committee on the Elimination of Racial Discrimination ("CERD Committee"), the international legal obligation to eradicate apartheid under Article 3 of CERD “includes the obligation to eradicate the consequences of…practices [of apartheid] undertaken or tolerated by previous Governments in the State”. The CERD Committee has also made clear that apartheid does not only arise</w:t>
      </w:r>
      <w:r w:rsidR="006C6F9A">
        <w:t xml:space="preserve"> from</w:t>
      </w:r>
      <w:r>
        <w:t xml:space="preserve"> formal legislation and policies of a State but can be imposed and maintained by “forces outside the State” (including by “the actions of private persons”) in the absence of such measures. Notably, the CERD Committee made these clarifications in 1995, after the formal end of apartheid in South Africa. </w:t>
      </w:r>
      <w:r w:rsidR="00A9413E" w:rsidRPr="008E7595">
        <w:t xml:space="preserve">The relevant page of </w:t>
      </w:r>
      <w:r w:rsidR="00895B4D" w:rsidRPr="008E7595">
        <w:t>the CERD</w:t>
      </w:r>
      <w:r w:rsidR="008E7595">
        <w:t xml:space="preserve"> Committee comments</w:t>
      </w:r>
      <w:r w:rsidR="00A9413E" w:rsidRPr="008E7595">
        <w:t xml:space="preserve"> </w:t>
      </w:r>
      <w:r w:rsidR="00650BB0" w:rsidRPr="008E7595">
        <w:t>is</w:t>
      </w:r>
      <w:r w:rsidR="00A9413E" w:rsidRPr="008E7595">
        <w:t xml:space="preserve"> attached hereto as </w:t>
      </w:r>
      <w:r w:rsidR="00A9413E" w:rsidRPr="005342E0">
        <w:t xml:space="preserve">annexure </w:t>
      </w:r>
      <w:r w:rsidR="008E7595">
        <w:t>“</w:t>
      </w:r>
      <w:r w:rsidR="00E62545" w:rsidRPr="005342E0">
        <w:rPr>
          <w:b/>
          <w:bCs/>
        </w:rPr>
        <w:t>GV10</w:t>
      </w:r>
      <w:r w:rsidR="00E62545" w:rsidRPr="005342E0">
        <w:t>”</w:t>
      </w:r>
      <w:r w:rsidR="00A9413E" w:rsidRPr="005342E0">
        <w:t>.</w:t>
      </w:r>
      <w:r w:rsidR="00A9413E" w:rsidRPr="008E7595">
        <w:t xml:space="preserve"> </w:t>
      </w:r>
    </w:p>
    <w:p w14:paraId="6D995F0F" w14:textId="2B4F7276" w:rsidR="00F27C7C" w:rsidRDefault="00F27C7C" w:rsidP="00804F56">
      <w:pPr>
        <w:pStyle w:val="ListLevel1"/>
      </w:pPr>
      <w:r>
        <w:lastRenderedPageBreak/>
        <w:t>CALS will make submissions regarding the scope and the nature of this international obligation to eradicate apartheid as well as “any negative consequences that ensue”.</w:t>
      </w:r>
    </w:p>
    <w:p w14:paraId="2FE0B1F2" w14:textId="588E79FE" w:rsidR="00F27C7C" w:rsidRDefault="00F27C7C" w:rsidP="00804F56">
      <w:pPr>
        <w:pStyle w:val="ListLevel1"/>
      </w:pPr>
      <w:r>
        <w:t xml:space="preserve">CALS will submit that the scope of the international legal obligation to eradicate apartheid must be determined by taking into consideration the breadth and depth of the “inhuman acts” through which it was established and maintained, and their ensuing consequences. As the Apartheid Convention makes clear, apartheid was a totalising system of “political, social, economic and cultural” domination (Article II(c), Apartheid Convention), one that arose from and is “associated” with colonialism (as the Convention's Preamble makes clear in its reference to the General Assembly's Declaration on the Granting of Independence to Colonial Countries and Peoples (1960). </w:t>
      </w:r>
    </w:p>
    <w:p w14:paraId="5A174F2E" w14:textId="343827DD" w:rsidR="00F27C7C" w:rsidRDefault="00F27C7C" w:rsidP="00804F56">
      <w:pPr>
        <w:pStyle w:val="ListLevel1"/>
      </w:pPr>
      <w:r>
        <w:t xml:space="preserve">The racialised distribution of land ownership - and the accompanying limitations on land tenure and use, as well as freedom of movement and residence - was central to both colonialism and apartheid. The “inhuman acts” and human rights violations listed in the Apartheid Convention through which racial domination and oppression are </w:t>
      </w:r>
      <w:proofErr w:type="gramStart"/>
      <w:r>
        <w:t>effected</w:t>
      </w:r>
      <w:proofErr w:type="gramEnd"/>
      <w:r>
        <w:t xml:space="preserve"> under apartheid specifically include:</w:t>
      </w:r>
    </w:p>
    <w:p w14:paraId="4B456F60" w14:textId="77777777" w:rsidR="00F27C7C" w:rsidRDefault="00F27C7C" w:rsidP="00804F56">
      <w:pPr>
        <w:pStyle w:val="ListLevel2"/>
      </w:pPr>
      <w:r>
        <w:t xml:space="preserve">Policies and practices of racial segregation, including measures designed to divide the population along racial lines by the creation </w:t>
      </w:r>
      <w:r>
        <w:lastRenderedPageBreak/>
        <w:t>of separate reserves and ghettos for the members of a racial group or groups (Article II(d));</w:t>
      </w:r>
    </w:p>
    <w:p w14:paraId="41CEA3A5" w14:textId="77777777" w:rsidR="00F27C7C" w:rsidRDefault="00F27C7C" w:rsidP="00804F56">
      <w:pPr>
        <w:pStyle w:val="ListLevel2"/>
      </w:pPr>
      <w:r>
        <w:t xml:space="preserve">Deliberate imposition on a racial group or groups of living conditions calculated to cause </w:t>
      </w:r>
      <w:proofErr w:type="spellStart"/>
      <w:r>
        <w:t>its</w:t>
      </w:r>
      <w:proofErr w:type="spellEnd"/>
      <w:r>
        <w:t xml:space="preserve"> or their physical destruction in whole or in part (Article II(b));</w:t>
      </w:r>
    </w:p>
    <w:p w14:paraId="2F68CEC1" w14:textId="77777777" w:rsidR="00F27C7C" w:rsidRDefault="00F27C7C" w:rsidP="00804F56">
      <w:pPr>
        <w:pStyle w:val="ListLevel2"/>
      </w:pPr>
      <w:r>
        <w:t xml:space="preserve">Denying to members of a racial group or groups the right to freedom of movement and residence (Article II(c)); and </w:t>
      </w:r>
    </w:p>
    <w:p w14:paraId="62D08579" w14:textId="77777777" w:rsidR="00F27C7C" w:rsidRDefault="00F27C7C" w:rsidP="00804F56">
      <w:pPr>
        <w:pStyle w:val="ListLevel2"/>
      </w:pPr>
      <w:r>
        <w:t>The expropriation of landed property belonging to a racial group or groups or to members thereof (Article II(d)).</w:t>
      </w:r>
    </w:p>
    <w:p w14:paraId="749D581B" w14:textId="2FCBC297" w:rsidR="00F27C7C" w:rsidRDefault="00F27C7C" w:rsidP="00804F56">
      <w:pPr>
        <w:pStyle w:val="ListLevel1"/>
      </w:pPr>
      <w:r>
        <w:t>On this basis, CALS will make submissions on the extent of the legislative and other measures required for South Africa to discharge its international legal obligation to eradicate apartheid and its consequences, with specific reference to ongoing racialised access to land.</w:t>
      </w:r>
    </w:p>
    <w:p w14:paraId="534A0C41" w14:textId="7245CC3A" w:rsidR="00F27C7C" w:rsidRDefault="00F27C7C" w:rsidP="00804F56">
      <w:pPr>
        <w:pStyle w:val="ListLevel1"/>
      </w:pPr>
      <w:r>
        <w:t xml:space="preserve">CALS will make further submissions showing that the “obligation to eradicate the consequences of …practices [of apartheid]” is an obligation of result, not an obligation of conduct. In other words, it is an obligation which “requires States to achieve specific targets to satisfy a detailed substantive standard”. In contrast, an obligation of conduct merely </w:t>
      </w:r>
      <w:r>
        <w:lastRenderedPageBreak/>
        <w:t>“requires action reasonably calculated to realise the enjoyment of a particular right”.</w:t>
      </w:r>
      <w:r w:rsidR="00A9413E">
        <w:t xml:space="preserve"> </w:t>
      </w:r>
    </w:p>
    <w:p w14:paraId="5AC4EA9C" w14:textId="443501BD" w:rsidR="00F27C7C" w:rsidRDefault="00F27C7C" w:rsidP="00804F56">
      <w:pPr>
        <w:pStyle w:val="ListLevel1"/>
      </w:pPr>
      <w:r>
        <w:t xml:space="preserve">CALS will argue that the nature of this obligation as an obligation of result arises from language used in CERD and the Apartheid Convention. </w:t>
      </w:r>
    </w:p>
    <w:p w14:paraId="4F694A13" w14:textId="27A2E718" w:rsidR="00F27C7C" w:rsidRDefault="00F27C7C" w:rsidP="00804F56">
      <w:pPr>
        <w:pStyle w:val="ListLevel1"/>
      </w:pPr>
      <w:r>
        <w:t xml:space="preserve">The verb “eradicate” means “destroy completely; put an end to”. This result-oriented nature of the obligation to eradicate apartheid is affirmed by the CERD Committee's determination that States are not only obliged to put an end to the “practices” of apartheid, but to ensure “the eradication of any negative consequences that ensue”, regardless of whether they arise from the State's action or inaction or from “forces outside the State” altogether. </w:t>
      </w:r>
    </w:p>
    <w:p w14:paraId="736F76DB" w14:textId="4CC2E15A" w:rsidR="00F27C7C" w:rsidRDefault="00F27C7C" w:rsidP="00804F56">
      <w:pPr>
        <w:pStyle w:val="ListLevel1"/>
      </w:pPr>
      <w:r>
        <w:t>The prohibition on apartheid is a peremptory norm of general international law (</w:t>
      </w:r>
      <w:r w:rsidRPr="00A9413E">
        <w:rPr>
          <w:i/>
          <w:iCs/>
        </w:rPr>
        <w:t xml:space="preserve">jus </w:t>
      </w:r>
      <w:proofErr w:type="spellStart"/>
      <w:r w:rsidRPr="00A9413E">
        <w:rPr>
          <w:i/>
          <w:iCs/>
        </w:rPr>
        <w:t>cogen</w:t>
      </w:r>
      <w:proofErr w:type="spellEnd"/>
      <w:r w:rsidRPr="00A9413E">
        <w:rPr>
          <w:i/>
          <w:iCs/>
        </w:rPr>
        <w:t>)</w:t>
      </w:r>
      <w:r>
        <w:t>. Under the law on state responsibility, the breach of an international obligation "extends over the entire period during which the act continues and remains not in conformity with the international obligation". Under the International Law Commission's (ILC) Articles on State Responsibility (</w:t>
      </w:r>
      <w:r w:rsidR="00CB3791">
        <w:t>“</w:t>
      </w:r>
      <w:r>
        <w:t>ARSIWA</w:t>
      </w:r>
      <w:r w:rsidR="00CB3791">
        <w:t>”</w:t>
      </w:r>
      <w:r>
        <w:t xml:space="preserve">), "serious breaches of obligations under peremptory norms" create obligations on third states to "cooperate to bring [such breaches] to an end" (Article 41(1), ARSIWA) and not to "render aid or assistance in maintaining that situation" (Article 41(2), ARSIWA). As such, under the law on state responsibility the obligation to eradicate </w:t>
      </w:r>
      <w:r>
        <w:lastRenderedPageBreak/>
        <w:t xml:space="preserve">apartheid is continuing, peremptory, and collective (i.e. an obligation </w:t>
      </w:r>
      <w:proofErr w:type="spellStart"/>
      <w:r w:rsidRPr="005342E0">
        <w:rPr>
          <w:i/>
          <w:iCs/>
        </w:rPr>
        <w:t>erga</w:t>
      </w:r>
      <w:proofErr w:type="spellEnd"/>
      <w:r w:rsidRPr="005342E0">
        <w:rPr>
          <w:i/>
          <w:iCs/>
        </w:rPr>
        <w:t xml:space="preserve"> omnes</w:t>
      </w:r>
      <w:r>
        <w:t xml:space="preserve">). </w:t>
      </w:r>
    </w:p>
    <w:p w14:paraId="1D5363AE" w14:textId="2CBB0C06" w:rsidR="00F27C7C" w:rsidRDefault="00F27C7C" w:rsidP="00804F56">
      <w:pPr>
        <w:pStyle w:val="ListLevel1"/>
      </w:pPr>
      <w:r>
        <w:t>While treaties generally leave it up to states to decide what measures to adopt, some specifically mandate the adoption of legislation. For example, the African Charter on Values and Principles of Public Service and Administration - which South Africa acceded to in 2014 - obliges States Parties to “enact laws and adopt strategies to fight corruption through the establishment of independent anti-corruption institutions” (Article 12(1)). Other treaties require the adoption of legislation by implication.</w:t>
      </w:r>
    </w:p>
    <w:p w14:paraId="2323D9B6" w14:textId="28EA7A59" w:rsidR="00F27C7C" w:rsidRDefault="00F27C7C" w:rsidP="00804F56">
      <w:pPr>
        <w:pStyle w:val="ListLevel1"/>
      </w:pPr>
      <w:r>
        <w:t>In considering whether specific legislation is “required by circumstances” in terms of Article 2(1)(d) of CERD, the following remarks by the Committee (made in respect of Article 2(1) of the ICESCR) are apposite:</w:t>
      </w:r>
    </w:p>
    <w:p w14:paraId="3163EA3E" w14:textId="4CBF56CF" w:rsidR="00F27C7C" w:rsidRDefault="00F27C7C" w:rsidP="00B143D7">
      <w:pPr>
        <w:pStyle w:val="Quote"/>
      </w:pPr>
      <w:r w:rsidRPr="00A9413E">
        <w:rPr>
          <w:color w:val="000000" w:themeColor="text1"/>
        </w:rPr>
        <w:t>“The means which should be used in order to satisfy the obligation to take steps are stated in article 2 (1) to be "all appropriate means, including particularly the adoption of legislative measures". The Committee recognizes that in many instances legislation is highly desirable and in some cases may even be indispensable. For example, it may be difficult to combat discrimination effectively in the absence of a sound legislative foundation for the necessary measures</w:t>
      </w:r>
      <w:r>
        <w:t>.”</w:t>
      </w:r>
    </w:p>
    <w:p w14:paraId="4BF67407" w14:textId="6D7E3015" w:rsidR="00A4701C" w:rsidRDefault="00A4701C" w:rsidP="00804F56">
      <w:pPr>
        <w:pStyle w:val="ListLevel1"/>
      </w:pPr>
      <w:r w:rsidRPr="00A4701C">
        <w:t xml:space="preserve">The requirement for ‘appropriate relief’ must be understood alongside the principle that courts are empowered to make orders that are ‘just and </w:t>
      </w:r>
      <w:r w:rsidRPr="00A4701C">
        <w:lastRenderedPageBreak/>
        <w:t>equitable</w:t>
      </w:r>
      <w:r w:rsidR="003C6E19">
        <w:t>’</w:t>
      </w:r>
      <w:r w:rsidRPr="00A4701C">
        <w:t>. In essence, an appropriate remedy is one that is both suitable and fair.</w:t>
      </w:r>
    </w:p>
    <w:p w14:paraId="6363B58B" w14:textId="13983DB1" w:rsidR="00A6717E" w:rsidRDefault="003C6E19" w:rsidP="00804F56">
      <w:pPr>
        <w:pStyle w:val="ListLevel1"/>
      </w:pPr>
      <w:r>
        <w:t>Addressing the</w:t>
      </w:r>
      <w:r w:rsidR="00A6717E">
        <w:t xml:space="preserve"> gendered and intersectional dimensions of land dispossession requires remedies that go beyond land restitution</w:t>
      </w:r>
      <w:r w:rsidR="0023269D">
        <w:t xml:space="preserve"> or mere redistribution</w:t>
      </w:r>
      <w:r w:rsidR="00A6717E">
        <w:t>. Policies must actively dismantle the structural inequalities that perpetuate exclusion and marginali</w:t>
      </w:r>
      <w:r w:rsidR="00982CB3">
        <w:t>s</w:t>
      </w:r>
      <w:r w:rsidR="00A6717E">
        <w:t>ation.</w:t>
      </w:r>
    </w:p>
    <w:p w14:paraId="26BBF434" w14:textId="245E00DD" w:rsidR="00A6717E" w:rsidRDefault="0022259E" w:rsidP="00804F56">
      <w:pPr>
        <w:pStyle w:val="ListLevel1"/>
      </w:pPr>
      <w:r>
        <w:t xml:space="preserve">We submit an appropriate and just and equitable remedy, </w:t>
      </w:r>
      <w:r w:rsidR="00004C54">
        <w:t xml:space="preserve">would include </w:t>
      </w:r>
      <w:r w:rsidR="003C1552">
        <w:t>the following</w:t>
      </w:r>
      <w:r w:rsidR="000D43BB">
        <w:t>:</w:t>
      </w:r>
    </w:p>
    <w:p w14:paraId="13943B78" w14:textId="5DC8F265" w:rsidR="00A6717E" w:rsidRDefault="00A6717E" w:rsidP="00804F56">
      <w:pPr>
        <w:pStyle w:val="ListLevel2"/>
      </w:pPr>
      <w:r>
        <w:t xml:space="preserve">Land reform </w:t>
      </w:r>
      <w:r w:rsidR="00071DB3">
        <w:t>legislation</w:t>
      </w:r>
      <w:r>
        <w:t xml:space="preserve"> should prioriti</w:t>
      </w:r>
      <w:r w:rsidR="000D43BB">
        <w:t>s</w:t>
      </w:r>
      <w:r>
        <w:t xml:space="preserve">e </w:t>
      </w:r>
      <w:r w:rsidR="00CB3791">
        <w:t xml:space="preserve">Black </w:t>
      </w:r>
      <w:r>
        <w:t>women’s access to land ownership and control. This includes revising customary laws and practices that discriminate against women and ensuring that women are equal beneficiaries in land redistribution programs.</w:t>
      </w:r>
    </w:p>
    <w:p w14:paraId="38BA367F" w14:textId="2F13BCF0" w:rsidR="00A6717E" w:rsidRDefault="00A6717E" w:rsidP="00804F56">
      <w:pPr>
        <w:pStyle w:val="ListLevel2"/>
      </w:pPr>
      <w:r>
        <w:t>Remedies must consider the diverse experiences of dispossession. Tailored approaches are needed to address the unique challenges faced by rural women, urban dwellers, and LGBTQ+ individuals. This includes providing legal support, financial resources, and capacity-building programs.</w:t>
      </w:r>
    </w:p>
    <w:p w14:paraId="5AC9800D" w14:textId="68272B3C" w:rsidR="00A6717E" w:rsidRDefault="00A6717E" w:rsidP="00804F56">
      <w:pPr>
        <w:pStyle w:val="ListLevel2"/>
      </w:pPr>
      <w:r>
        <w:t xml:space="preserve">Inclusive decision-making processes are essential. </w:t>
      </w:r>
      <w:r w:rsidR="00CB3791">
        <w:t>Black w</w:t>
      </w:r>
      <w:r>
        <w:t>omen, LGBTQ+ individuals, and other marginali</w:t>
      </w:r>
      <w:r w:rsidR="00D661F1">
        <w:t>s</w:t>
      </w:r>
      <w:r>
        <w:t xml:space="preserve">ed groups must have a </w:t>
      </w:r>
      <w:r>
        <w:lastRenderedPageBreak/>
        <w:t>voice in land reform initiatives to ensure their needs and perspectives are addressed.</w:t>
      </w:r>
    </w:p>
    <w:p w14:paraId="7F424B5C" w14:textId="1203C90C" w:rsidR="00A6717E" w:rsidRDefault="00A6717E" w:rsidP="00804F56">
      <w:pPr>
        <w:pStyle w:val="ListLevel2"/>
      </w:pPr>
      <w:r>
        <w:t>Land reform should be coupled with support for sustainable livelihoods. This includes access to credit, agricultural training, and market opportunities to ensure that land ownership translates into economic security.</w:t>
      </w:r>
    </w:p>
    <w:p w14:paraId="2D52040E" w14:textId="08F54E83" w:rsidR="00A6717E" w:rsidRDefault="00A6717E" w:rsidP="00804F56">
      <w:pPr>
        <w:pStyle w:val="ListLevel2"/>
      </w:pPr>
      <w:r>
        <w:t>Transparent mechanisms must be established to monitor the implementation of land reform policies. This includes tracking progress on gender equity and intersectional inclusion to ensure that remedies are effective and equitable.</w:t>
      </w:r>
    </w:p>
    <w:p w14:paraId="4434372B" w14:textId="7E3876B2" w:rsidR="00A6717E" w:rsidRDefault="004A6265" w:rsidP="00804F56">
      <w:pPr>
        <w:pStyle w:val="ListLevel2"/>
      </w:pPr>
      <w:r>
        <w:t>Draw on international best practices and</w:t>
      </w:r>
      <w:r w:rsidR="00CB3791">
        <w:t xml:space="preserve"> comparative</w:t>
      </w:r>
      <w:r>
        <w:t xml:space="preserve"> </w:t>
      </w:r>
      <w:r w:rsidR="007E7F17">
        <w:t>jurisprudence to</w:t>
      </w:r>
      <w:r>
        <w:t xml:space="preserve"> inform domestic land reform policies.</w:t>
      </w:r>
    </w:p>
    <w:p w14:paraId="2EDC51AE" w14:textId="4D88DB4D" w:rsidR="00061AE0" w:rsidRDefault="00A6717E" w:rsidP="00804F56">
      <w:pPr>
        <w:pStyle w:val="ListLevel1"/>
      </w:pPr>
      <w:r>
        <w:t>The legacy of land dispossession cannot be undone without addressing its gendered and intersectional dimensions. Remedies must go beyond surface-level solutions and tackle the structural inequalities that continue to marginali</w:t>
      </w:r>
      <w:r w:rsidR="008F4911">
        <w:t>s</w:t>
      </w:r>
      <w:r>
        <w:t>e women and other vulnerable groups. By adopting inclusive, gender-responsive, and intersectional approaches, South Africa can move closer to achieving justice and equity in land reform.</w:t>
      </w:r>
    </w:p>
    <w:p w14:paraId="24B70992" w14:textId="517137C1" w:rsidR="00125A20" w:rsidRPr="002072EC" w:rsidRDefault="00125A20" w:rsidP="006527F3">
      <w:pPr>
        <w:pStyle w:val="Heading1"/>
        <w:rPr>
          <w:sz w:val="24"/>
          <w:szCs w:val="24"/>
        </w:rPr>
      </w:pPr>
      <w:bookmarkStart w:id="3" w:name="_Hlk203126399"/>
      <w:r w:rsidRPr="002072EC">
        <w:rPr>
          <w:sz w:val="24"/>
          <w:szCs w:val="24"/>
        </w:rPr>
        <w:lastRenderedPageBreak/>
        <w:t>INTEREST OF JUSTICE AND NON-PREJUDICE</w:t>
      </w:r>
    </w:p>
    <w:bookmarkEnd w:id="3"/>
    <w:p w14:paraId="77F37FA9" w14:textId="77777777" w:rsidR="00965FD1" w:rsidRDefault="00965FD1" w:rsidP="00804F56">
      <w:pPr>
        <w:pStyle w:val="ListLevel1"/>
        <w:rPr>
          <w:rFonts w:ascii="Times New Roman" w:hAnsi="Times New Roman"/>
          <w:szCs w:val="24"/>
          <w:lang w:eastAsia="en-GB"/>
        </w:rPr>
      </w:pPr>
      <w:r>
        <w:t>CALS submits that its intervention is in the public interest, as it seeks to assist the Court in addressing critical constitutional issues related to land dispossession and the intersectional inequalities that persist in South Africa. This contribution aligns with the broader goals of justice and equity enshrined in the Constitution.</w:t>
      </w:r>
    </w:p>
    <w:p w14:paraId="53757B3E" w14:textId="6C4C126B" w:rsidR="00965FD1" w:rsidRDefault="00965FD1" w:rsidP="00804F56">
      <w:pPr>
        <w:pStyle w:val="ListLevel1"/>
      </w:pPr>
      <w:r>
        <w:t>CALS emphasises that its submissions are intended to provide a focused legal perspective on the gendered and intersectional dimensions of land reform, which are often overlooked in broader policy discussions. This perspective will assist the Court in ensuring that its decision is informed by a comprehensive understanding of the systemic barriers faced by groups</w:t>
      </w:r>
      <w:r w:rsidR="0023269D">
        <w:t xml:space="preserve"> pushed to the margins</w:t>
      </w:r>
      <w:r>
        <w:t>.</w:t>
      </w:r>
    </w:p>
    <w:p w14:paraId="5D05D54F" w14:textId="77777777" w:rsidR="00965FD1" w:rsidRDefault="00965FD1" w:rsidP="00804F56">
      <w:pPr>
        <w:pStyle w:val="ListLevel1"/>
      </w:pPr>
      <w:r>
        <w:t>CALS will rely on existing evidence and legal principles to support its submissions, ensuring that its intervention does not disrupt the procedural integrity of the case. Its role is to provide legal arguments and comparative jurisprudence that may aid the Court in crafting remedies that address historical and ongoing injustices.</w:t>
      </w:r>
    </w:p>
    <w:p w14:paraId="43D52518" w14:textId="77777777" w:rsidR="00965FD1" w:rsidRDefault="00965FD1" w:rsidP="00804F56">
      <w:pPr>
        <w:pStyle w:val="ListLevel1"/>
      </w:pPr>
      <w:r>
        <w:t xml:space="preserve">CALS further submits that its intervention will not prejudice any party to the proceedings. By adhering to the Court’s directives and focusing solely on </w:t>
      </w:r>
      <w:r>
        <w:lastRenderedPageBreak/>
        <w:t>legal arguments, CALS aims to contribute constructively to the resolution of the issues before the Court.</w:t>
      </w:r>
    </w:p>
    <w:p w14:paraId="62FCEB0C" w14:textId="28E9863A" w:rsidR="00965FD1" w:rsidRDefault="00965FD1" w:rsidP="00804F56">
      <w:pPr>
        <w:pStyle w:val="ListLevel1"/>
      </w:pPr>
      <w:r>
        <w:t>Finally, CALS underscores its commitment to advancing the transformative goals of the Constitution. Its submissions are aimed at promoting substantive equality and ensuring that the remedies ordered by the Court address the structural inequalities that perpetuate exclusion and marginali</w:t>
      </w:r>
      <w:r w:rsidR="005827DD">
        <w:t>s</w:t>
      </w:r>
      <w:r>
        <w:t>ation in land reform processes.</w:t>
      </w:r>
    </w:p>
    <w:p w14:paraId="59087D7D" w14:textId="7E3C6F56" w:rsidR="00BF01B6" w:rsidRPr="00BF01B6" w:rsidRDefault="00125A20" w:rsidP="00C17C33">
      <w:pPr>
        <w:pStyle w:val="Heading1"/>
        <w:rPr>
          <w:lang w:eastAsia="en-GB"/>
        </w:rPr>
      </w:pPr>
      <w:r w:rsidRPr="002072EC">
        <w:rPr>
          <w:sz w:val="24"/>
          <w:szCs w:val="24"/>
        </w:rPr>
        <w:t>CONCLUSION</w:t>
      </w:r>
    </w:p>
    <w:p w14:paraId="15922410" w14:textId="5268F0D4" w:rsidR="00BF01B6" w:rsidRPr="00BF01B6" w:rsidRDefault="00BF01B6" w:rsidP="00804F56">
      <w:pPr>
        <w:pStyle w:val="ListLevel1"/>
        <w:rPr>
          <w:lang w:eastAsia="en-GB"/>
        </w:rPr>
      </w:pPr>
      <w:r w:rsidRPr="00BF01B6">
        <w:rPr>
          <w:lang w:eastAsia="en-GB"/>
        </w:rPr>
        <w:t xml:space="preserve">The legacy of land dispossession is deeply entrenched in the country’s colonial and apartheid history, perpetuating systemic inequalities that disproportionately affect </w:t>
      </w:r>
      <w:r w:rsidR="00CB3791">
        <w:rPr>
          <w:lang w:eastAsia="en-GB"/>
        </w:rPr>
        <w:t xml:space="preserve">Black </w:t>
      </w:r>
      <w:r w:rsidRPr="00BF01B6">
        <w:rPr>
          <w:lang w:eastAsia="en-GB"/>
        </w:rPr>
        <w:t>women and other marginalised groups. Addressing this issue requires more than symbolic recognition; it demands substantive remedies that dismantle structural barriers and promote equitable access to land.</w:t>
      </w:r>
    </w:p>
    <w:p w14:paraId="5D6883E2" w14:textId="7F655A3F" w:rsidR="00BF01B6" w:rsidRPr="00BF01B6" w:rsidRDefault="00BF01B6" w:rsidP="00804F56">
      <w:pPr>
        <w:pStyle w:val="ListLevel1"/>
        <w:rPr>
          <w:lang w:eastAsia="en-GB"/>
        </w:rPr>
      </w:pPr>
      <w:r w:rsidRPr="00BF01B6">
        <w:rPr>
          <w:lang w:eastAsia="en-GB"/>
        </w:rPr>
        <w:t>To achieve justice, land reform must adopt a gender-responsive and intersectional approach, prioriti</w:t>
      </w:r>
      <w:r w:rsidR="00355634">
        <w:rPr>
          <w:lang w:eastAsia="en-GB"/>
        </w:rPr>
        <w:t>s</w:t>
      </w:r>
      <w:r w:rsidRPr="00BF01B6">
        <w:rPr>
          <w:lang w:eastAsia="en-GB"/>
        </w:rPr>
        <w:t xml:space="preserve">ing the needs of those most affected by historical and ongoing dispossession. This includes ensuring </w:t>
      </w:r>
      <w:r w:rsidR="00CB3791">
        <w:rPr>
          <w:lang w:eastAsia="en-GB"/>
        </w:rPr>
        <w:t xml:space="preserve">Black </w:t>
      </w:r>
      <w:r w:rsidRPr="00BF01B6">
        <w:rPr>
          <w:lang w:eastAsia="en-GB"/>
        </w:rPr>
        <w:t xml:space="preserve">women’s equal participation in decision-making processes, revising discriminatory customary laws, and providing the necessary resources to enable sustainable livelihoods. Remedies must be tailored to address the </w:t>
      </w:r>
      <w:r w:rsidRPr="00BF01B6">
        <w:rPr>
          <w:lang w:eastAsia="en-GB"/>
        </w:rPr>
        <w:lastRenderedPageBreak/>
        <w:t>diverse experiences of dispossession, with a focus on empowering rural women, urban dwellers, and other vulnerable groups.</w:t>
      </w:r>
    </w:p>
    <w:p w14:paraId="26A64A66" w14:textId="69865674" w:rsidR="00BF01B6" w:rsidRPr="00BF01B6" w:rsidRDefault="00D4172B" w:rsidP="00804F56">
      <w:pPr>
        <w:pStyle w:val="ListLevel1"/>
        <w:rPr>
          <w:lang w:eastAsia="en-GB"/>
        </w:rPr>
      </w:pPr>
      <w:r>
        <w:rPr>
          <w:lang w:eastAsia="en-GB"/>
        </w:rPr>
        <w:t>Our</w:t>
      </w:r>
      <w:r w:rsidR="00BF01B6" w:rsidRPr="00BF01B6">
        <w:rPr>
          <w:lang w:eastAsia="en-GB"/>
        </w:rPr>
        <w:t xml:space="preserve"> Constitution enshrines the principles of dignity, equality, and justice, and the state has a constitutional obligation to redress the injustices of the past. Failure to meaningfully address the gendered and intersectional dimensions of land dispossession constitutes a breach of these obligations. By drawing on international best practices and comparative jurisprudence, the Court has an opportunity to craft remedies that not only address historical injustices but also pave the way for a more equitable and inclusive future.</w:t>
      </w:r>
    </w:p>
    <w:p w14:paraId="5480E978" w14:textId="7CF8A454" w:rsidR="00BF01B6" w:rsidRPr="00BF01B6" w:rsidRDefault="00BF01B6" w:rsidP="00804F56">
      <w:pPr>
        <w:pStyle w:val="ListLevel1"/>
        <w:rPr>
          <w:lang w:eastAsia="en-GB"/>
        </w:rPr>
      </w:pPr>
      <w:r w:rsidRPr="00BF01B6">
        <w:rPr>
          <w:lang w:eastAsia="en-GB"/>
        </w:rPr>
        <w:t xml:space="preserve">The time for transformative action is now. Land reform must go beyond surface-level solutions to confront the root causes of exclusion and marginalisation. By adopting a holistic and inclusive approach, South Africa can </w:t>
      </w:r>
      <w:r w:rsidR="004A43F3" w:rsidRPr="00BF01B6">
        <w:rPr>
          <w:lang w:eastAsia="en-GB"/>
        </w:rPr>
        <w:t>honour</w:t>
      </w:r>
      <w:r w:rsidRPr="00BF01B6">
        <w:rPr>
          <w:lang w:eastAsia="en-GB"/>
        </w:rPr>
        <w:t xml:space="preserve"> the promises of its Constitution and move closer to achieving substantive equality and justice for all.</w:t>
      </w:r>
    </w:p>
    <w:p w14:paraId="4EC879CD" w14:textId="7915A1B5" w:rsidR="008D6238" w:rsidRDefault="00125A20" w:rsidP="00514CBD">
      <w:pPr>
        <w:pStyle w:val="ListLevel1"/>
      </w:pPr>
      <w:r w:rsidRPr="002072EC">
        <w:t xml:space="preserve">In the circumstances, CALS prays for an order in terms of the Notice of Motion to which this affidavit is annexed.  </w:t>
      </w:r>
    </w:p>
    <w:p w14:paraId="4A3ECAC0" w14:textId="3736DCFC" w:rsidR="00125A20" w:rsidRPr="002072EC" w:rsidRDefault="00125A20" w:rsidP="00804F56">
      <w:pPr>
        <w:pStyle w:val="ListLevel1"/>
        <w:numPr>
          <w:ilvl w:val="0"/>
          <w:numId w:val="0"/>
        </w:numPr>
        <w:ind w:left="5040"/>
      </w:pPr>
      <w:r w:rsidRPr="002072EC">
        <w:t>___________________________</w:t>
      </w:r>
    </w:p>
    <w:p w14:paraId="03A3EB86" w14:textId="12AD161D" w:rsidR="00125A20" w:rsidRPr="002072EC" w:rsidRDefault="00125A20" w:rsidP="00804F56">
      <w:pPr>
        <w:pStyle w:val="ListLevel1"/>
        <w:numPr>
          <w:ilvl w:val="0"/>
          <w:numId w:val="0"/>
        </w:numPr>
      </w:pPr>
      <w:r w:rsidRPr="002072EC">
        <w:tab/>
      </w:r>
      <w:r w:rsidR="00193F4D">
        <w:tab/>
      </w:r>
      <w:r w:rsidR="00193F4D">
        <w:tab/>
      </w:r>
      <w:r w:rsidR="00193F4D">
        <w:tab/>
      </w:r>
      <w:r w:rsidR="00193F4D">
        <w:tab/>
      </w:r>
      <w:r w:rsidR="00193F4D">
        <w:tab/>
      </w:r>
      <w:r w:rsidR="00193F4D">
        <w:tab/>
      </w:r>
      <w:r w:rsidR="00193F4D">
        <w:tab/>
      </w:r>
      <w:r w:rsidR="00193F4D">
        <w:tab/>
      </w:r>
      <w:r w:rsidRPr="002072EC">
        <w:t>DEPONENT</w:t>
      </w:r>
    </w:p>
    <w:p w14:paraId="428F1A0B" w14:textId="3783EED2" w:rsidR="00125A20" w:rsidRPr="002072EC" w:rsidRDefault="00125A20" w:rsidP="00804F56">
      <w:pPr>
        <w:pStyle w:val="ListLevel1"/>
        <w:numPr>
          <w:ilvl w:val="0"/>
          <w:numId w:val="0"/>
        </w:numPr>
      </w:pPr>
      <w:r w:rsidRPr="002072EC">
        <w:lastRenderedPageBreak/>
        <w:t xml:space="preserve">SIGNED and SWORN to before me at </w:t>
      </w:r>
      <w:r w:rsidR="00F901EF">
        <w:t>_____________________</w:t>
      </w:r>
      <w:r w:rsidRPr="002072EC">
        <w:t xml:space="preserve"> on this ____ day of _______ 202</w:t>
      </w:r>
      <w:r w:rsidR="00F901EF">
        <w:t>6</w:t>
      </w:r>
      <w:r w:rsidRPr="002072EC">
        <w:t>, the deponent having acknowledged that he knows and understands the contents of this affidavit, that he has no objection to taking the prescribed oath and that he considers the oath to be binding on his conscience.</w:t>
      </w:r>
    </w:p>
    <w:p w14:paraId="06E6F1D7" w14:textId="77777777" w:rsidR="00125A20" w:rsidRPr="002072EC" w:rsidRDefault="00125A20" w:rsidP="00804F56">
      <w:pPr>
        <w:pStyle w:val="ListLevel1"/>
        <w:numPr>
          <w:ilvl w:val="0"/>
          <w:numId w:val="0"/>
        </w:numPr>
      </w:pPr>
    </w:p>
    <w:p w14:paraId="64D87069" w14:textId="77777777" w:rsidR="00125A20" w:rsidRPr="002072EC" w:rsidRDefault="00125A20" w:rsidP="00804F56">
      <w:pPr>
        <w:pStyle w:val="ListLevel1"/>
        <w:numPr>
          <w:ilvl w:val="0"/>
          <w:numId w:val="0"/>
        </w:numPr>
      </w:pPr>
      <w:r w:rsidRPr="002072EC">
        <w:t>___________________________</w:t>
      </w:r>
    </w:p>
    <w:p w14:paraId="5E5D6BE5" w14:textId="77777777" w:rsidR="00125A20" w:rsidRPr="002072EC" w:rsidRDefault="00125A20" w:rsidP="00804F56">
      <w:pPr>
        <w:pStyle w:val="ListLevel1"/>
        <w:numPr>
          <w:ilvl w:val="0"/>
          <w:numId w:val="0"/>
        </w:numPr>
      </w:pPr>
      <w:r w:rsidRPr="002072EC">
        <w:t>COMMISSIONER OF OATHS</w:t>
      </w:r>
    </w:p>
    <w:p w14:paraId="4EF6D042" w14:textId="77777777" w:rsidR="00597729" w:rsidRPr="00101BCD" w:rsidRDefault="00597729" w:rsidP="00101BCD"/>
    <w:sectPr w:rsidR="00597729" w:rsidRPr="00101BCD" w:rsidSect="001F6793">
      <w:headerReference w:type="default" r:id="rId8"/>
      <w:pgSz w:w="11907" w:h="16840" w:code="9"/>
      <w:pgMar w:top="1797" w:right="1440" w:bottom="1440" w:left="179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E0DE9" w14:textId="77777777" w:rsidR="00EE4B83" w:rsidRDefault="00EE4B83">
      <w:r>
        <w:separator/>
      </w:r>
    </w:p>
  </w:endnote>
  <w:endnote w:type="continuationSeparator" w:id="0">
    <w:p w14:paraId="3628C9B3" w14:textId="77777777" w:rsidR="00EE4B83" w:rsidRDefault="00EE4B83">
      <w:r>
        <w:continuationSeparator/>
      </w:r>
    </w:p>
  </w:endnote>
  <w:endnote w:type="continuationNotice" w:id="1">
    <w:p w14:paraId="753FA6AE" w14:textId="77777777" w:rsidR="00EE4B83" w:rsidRDefault="00EE4B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AC20A" w14:textId="77777777" w:rsidR="00EE4B83" w:rsidRDefault="00EE4B83" w:rsidP="00384C82">
      <w:pPr>
        <w:spacing w:after="0"/>
      </w:pPr>
      <w:r>
        <w:separator/>
      </w:r>
    </w:p>
  </w:footnote>
  <w:footnote w:type="continuationSeparator" w:id="0">
    <w:p w14:paraId="277FE51F" w14:textId="77777777" w:rsidR="00EE4B83" w:rsidRDefault="00EE4B83">
      <w:r>
        <w:continuationSeparator/>
      </w:r>
    </w:p>
  </w:footnote>
  <w:footnote w:type="continuationNotice" w:id="1">
    <w:p w14:paraId="52F8702B" w14:textId="77777777" w:rsidR="00EE4B83" w:rsidRDefault="00EE4B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25D88" w14:textId="77777777" w:rsidR="00881BAF" w:rsidRPr="00C307C7" w:rsidRDefault="00881BAF" w:rsidP="00C15506">
    <w:pPr>
      <w:pStyle w:val="Header"/>
      <w:spacing w:after="0" w:line="240" w:lineRule="auto"/>
      <w:jc w:val="center"/>
      <w:rPr>
        <w:rStyle w:val="PageNumber"/>
        <w:rFonts w:cs="Arial"/>
        <w:sz w:val="16"/>
        <w:szCs w:val="16"/>
      </w:rPr>
    </w:pPr>
  </w:p>
  <w:p w14:paraId="237AF5DC" w14:textId="77777777" w:rsidR="00881BAF" w:rsidRPr="00C307C7" w:rsidRDefault="00881BAF" w:rsidP="00C15506">
    <w:pPr>
      <w:pStyle w:val="Header"/>
      <w:spacing w:after="0" w:line="240" w:lineRule="auto"/>
      <w:jc w:val="center"/>
      <w:rPr>
        <w:rStyle w:val="PageNumber"/>
        <w:rFonts w:cs="Arial"/>
        <w:sz w:val="16"/>
        <w:szCs w:val="16"/>
      </w:rPr>
    </w:pPr>
  </w:p>
  <w:p w14:paraId="3F36CF64" w14:textId="77777777" w:rsidR="00881BAF" w:rsidRPr="00C307C7" w:rsidRDefault="00881BAF" w:rsidP="00C15506">
    <w:pPr>
      <w:pStyle w:val="Header"/>
      <w:spacing w:after="0" w:line="240" w:lineRule="auto"/>
      <w:jc w:val="center"/>
      <w:rPr>
        <w:rStyle w:val="PageNumber"/>
        <w:rFonts w:cs="Arial"/>
        <w:sz w:val="16"/>
        <w:szCs w:val="16"/>
      </w:rPr>
    </w:pPr>
  </w:p>
  <w:p w14:paraId="34BEFA55" w14:textId="77777777" w:rsidR="00881BAF" w:rsidRPr="00C307C7" w:rsidRDefault="00881BAF" w:rsidP="00C15506">
    <w:pPr>
      <w:pStyle w:val="Header"/>
      <w:spacing w:after="0" w:line="240" w:lineRule="auto"/>
      <w:jc w:val="center"/>
      <w:rPr>
        <w:rStyle w:val="PageNumber"/>
        <w:rFonts w:cs="Arial"/>
        <w:szCs w:val="25"/>
      </w:rPr>
    </w:pPr>
    <w:r w:rsidRPr="00C307C7">
      <w:rPr>
        <w:rStyle w:val="PageNumber"/>
        <w:rFonts w:cs="Arial"/>
        <w:szCs w:val="25"/>
      </w:rPr>
      <w:t xml:space="preserve">- </w:t>
    </w:r>
    <w:r w:rsidRPr="00C307C7">
      <w:rPr>
        <w:rStyle w:val="PageNumber"/>
        <w:rFonts w:cs="Arial"/>
        <w:szCs w:val="25"/>
      </w:rPr>
      <w:fldChar w:fldCharType="begin"/>
    </w:r>
    <w:r w:rsidRPr="00C307C7">
      <w:rPr>
        <w:rStyle w:val="PageNumber"/>
        <w:rFonts w:cs="Arial"/>
        <w:szCs w:val="25"/>
      </w:rPr>
      <w:instrText xml:space="preserve"> PAGE </w:instrText>
    </w:r>
    <w:r w:rsidRPr="00C307C7">
      <w:rPr>
        <w:rStyle w:val="PageNumber"/>
        <w:rFonts w:cs="Arial"/>
        <w:szCs w:val="25"/>
      </w:rPr>
      <w:fldChar w:fldCharType="separate"/>
    </w:r>
    <w:r w:rsidRPr="00C307C7">
      <w:rPr>
        <w:rStyle w:val="PageNumber"/>
        <w:rFonts w:cs="Arial"/>
        <w:noProof/>
        <w:szCs w:val="25"/>
      </w:rPr>
      <w:t>5</w:t>
    </w:r>
    <w:r w:rsidRPr="00C307C7">
      <w:rPr>
        <w:rStyle w:val="PageNumber"/>
        <w:rFonts w:cs="Arial"/>
        <w:szCs w:val="25"/>
      </w:rPr>
      <w:fldChar w:fldCharType="end"/>
    </w:r>
    <w:r w:rsidRPr="00C307C7">
      <w:rPr>
        <w:rStyle w:val="PageNumber"/>
        <w:rFonts w:cs="Arial"/>
        <w:szCs w:val="25"/>
      </w:rPr>
      <w:t xml:space="preserve"> -</w:t>
    </w:r>
  </w:p>
  <w:p w14:paraId="1D9661E7" w14:textId="77777777" w:rsidR="00881BAF" w:rsidRPr="00C307C7" w:rsidRDefault="00881BAF" w:rsidP="00C15506">
    <w:pPr>
      <w:pStyle w:val="Header"/>
      <w:spacing w:after="0" w:line="240" w:lineRule="auto"/>
      <w:jc w:val="center"/>
      <w:rPr>
        <w:rStyle w:val="PageNumber"/>
        <w:rFonts w:cs="Arial"/>
        <w:sz w:val="16"/>
        <w:szCs w:val="16"/>
      </w:rPr>
    </w:pPr>
  </w:p>
  <w:p w14:paraId="2D369849" w14:textId="77777777" w:rsidR="00881BAF" w:rsidRPr="00C307C7" w:rsidRDefault="00881BAF" w:rsidP="00C15506">
    <w:pPr>
      <w:pStyle w:val="Header"/>
      <w:spacing w:after="0" w:line="240" w:lineRule="auto"/>
      <w:jc w:val="center"/>
      <w:rPr>
        <w:rStyle w:val="PageNumber"/>
        <w:rFonts w:cs="Arial"/>
        <w:sz w:val="16"/>
        <w:szCs w:val="16"/>
      </w:rPr>
    </w:pPr>
  </w:p>
  <w:p w14:paraId="227CF94B" w14:textId="77777777" w:rsidR="00881BAF" w:rsidRDefault="00881BAF" w:rsidP="00C15506">
    <w:pPr>
      <w:pStyle w:val="Header"/>
      <w:spacing w:after="0" w:line="240" w:lineRule="auto"/>
      <w:jc w:val="center"/>
      <w:rPr>
        <w:rStyle w:val="PageNumber"/>
        <w:rFonts w:cs="Arial"/>
        <w:sz w:val="16"/>
        <w:szCs w:val="16"/>
      </w:rPr>
    </w:pPr>
  </w:p>
  <w:p w14:paraId="2F7484BE" w14:textId="77777777" w:rsidR="00881BAF" w:rsidRPr="00C307C7" w:rsidRDefault="00881BAF" w:rsidP="00C15506">
    <w:pPr>
      <w:pStyle w:val="Header"/>
      <w:spacing w:after="0" w:line="240" w:lineRule="auto"/>
      <w:jc w:val="center"/>
      <w:rPr>
        <w:rStyle w:val="PageNumber"/>
        <w:rFonts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DE8A4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7BC02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DA4A5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4E56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924E5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18C3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724BE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1E27C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1EC22E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3A67B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D2814"/>
    <w:multiLevelType w:val="multilevel"/>
    <w:tmpl w:val="6E52D076"/>
    <w:lvl w:ilvl="0">
      <w:start w:val="1"/>
      <w:numFmt w:val="decimal"/>
      <w:lvlText w:val="%1."/>
      <w:lvlJc w:val="left"/>
      <w:pPr>
        <w:tabs>
          <w:tab w:val="num" w:pos="720"/>
        </w:tabs>
        <w:ind w:left="720" w:hanging="360"/>
      </w:pPr>
      <w:rPr>
        <w:b w:val="0"/>
        <w:bCs w:val="0"/>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1DC0AA2"/>
    <w:multiLevelType w:val="hybridMultilevel"/>
    <w:tmpl w:val="F04A010A"/>
    <w:lvl w:ilvl="0" w:tplc="489ABD64">
      <w:start w:val="1"/>
      <w:numFmt w:val="lowerLetter"/>
      <w:pStyle w:val="abracket"/>
      <w:lvlText w:val="%1)"/>
      <w:lvlJc w:val="left"/>
      <w:pPr>
        <w:tabs>
          <w:tab w:val="num" w:pos="851"/>
        </w:tabs>
        <w:ind w:left="851" w:hanging="851"/>
      </w:pPr>
      <w:rPr>
        <w:rFonts w:hint="default"/>
      </w:rPr>
    </w:lvl>
    <w:lvl w:ilvl="1" w:tplc="55ECC9DE" w:tentative="1">
      <w:start w:val="1"/>
      <w:numFmt w:val="lowerLetter"/>
      <w:lvlText w:val="%2."/>
      <w:lvlJc w:val="left"/>
      <w:pPr>
        <w:tabs>
          <w:tab w:val="num" w:pos="1440"/>
        </w:tabs>
        <w:ind w:left="1440" w:hanging="360"/>
      </w:pPr>
    </w:lvl>
    <w:lvl w:ilvl="2" w:tplc="DB608D22" w:tentative="1">
      <w:start w:val="1"/>
      <w:numFmt w:val="lowerRoman"/>
      <w:lvlText w:val="%3."/>
      <w:lvlJc w:val="right"/>
      <w:pPr>
        <w:tabs>
          <w:tab w:val="num" w:pos="2160"/>
        </w:tabs>
        <w:ind w:left="2160" w:hanging="180"/>
      </w:pPr>
    </w:lvl>
    <w:lvl w:ilvl="3" w:tplc="D3560AAA" w:tentative="1">
      <w:start w:val="1"/>
      <w:numFmt w:val="decimal"/>
      <w:lvlText w:val="%4."/>
      <w:lvlJc w:val="left"/>
      <w:pPr>
        <w:tabs>
          <w:tab w:val="num" w:pos="2880"/>
        </w:tabs>
        <w:ind w:left="2880" w:hanging="360"/>
      </w:pPr>
    </w:lvl>
    <w:lvl w:ilvl="4" w:tplc="596A8E2A" w:tentative="1">
      <w:start w:val="1"/>
      <w:numFmt w:val="lowerLetter"/>
      <w:lvlText w:val="%5."/>
      <w:lvlJc w:val="left"/>
      <w:pPr>
        <w:tabs>
          <w:tab w:val="num" w:pos="3600"/>
        </w:tabs>
        <w:ind w:left="3600" w:hanging="360"/>
      </w:pPr>
    </w:lvl>
    <w:lvl w:ilvl="5" w:tplc="7E620798" w:tentative="1">
      <w:start w:val="1"/>
      <w:numFmt w:val="lowerRoman"/>
      <w:lvlText w:val="%6."/>
      <w:lvlJc w:val="right"/>
      <w:pPr>
        <w:tabs>
          <w:tab w:val="num" w:pos="4320"/>
        </w:tabs>
        <w:ind w:left="4320" w:hanging="180"/>
      </w:pPr>
    </w:lvl>
    <w:lvl w:ilvl="6" w:tplc="8FA41626" w:tentative="1">
      <w:start w:val="1"/>
      <w:numFmt w:val="decimal"/>
      <w:lvlText w:val="%7."/>
      <w:lvlJc w:val="left"/>
      <w:pPr>
        <w:tabs>
          <w:tab w:val="num" w:pos="5040"/>
        </w:tabs>
        <w:ind w:left="5040" w:hanging="360"/>
      </w:pPr>
    </w:lvl>
    <w:lvl w:ilvl="7" w:tplc="00309198" w:tentative="1">
      <w:start w:val="1"/>
      <w:numFmt w:val="lowerLetter"/>
      <w:lvlText w:val="%8."/>
      <w:lvlJc w:val="left"/>
      <w:pPr>
        <w:tabs>
          <w:tab w:val="num" w:pos="5760"/>
        </w:tabs>
        <w:ind w:left="5760" w:hanging="360"/>
      </w:pPr>
    </w:lvl>
    <w:lvl w:ilvl="8" w:tplc="03F67278" w:tentative="1">
      <w:start w:val="1"/>
      <w:numFmt w:val="lowerRoman"/>
      <w:lvlText w:val="%9."/>
      <w:lvlJc w:val="right"/>
      <w:pPr>
        <w:tabs>
          <w:tab w:val="num" w:pos="6480"/>
        </w:tabs>
        <w:ind w:left="6480" w:hanging="180"/>
      </w:pPr>
    </w:lvl>
  </w:abstractNum>
  <w:abstractNum w:abstractNumId="12" w15:restartNumberingAfterBreak="0">
    <w:nsid w:val="06052FA4"/>
    <w:multiLevelType w:val="hybridMultilevel"/>
    <w:tmpl w:val="7B4A2C42"/>
    <w:lvl w:ilvl="0" w:tplc="6ADE27A0">
      <w:start w:val="1"/>
      <w:numFmt w:val="upperLetter"/>
      <w:lvlText w:val="%1."/>
      <w:lvlJc w:val="left"/>
      <w:pPr>
        <w:ind w:left="720" w:hanging="360"/>
      </w:pPr>
      <w:rPr>
        <w:rFonts w:hint="default"/>
        <w:sz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0F3E6E4F"/>
    <w:multiLevelType w:val="multilevel"/>
    <w:tmpl w:val="51BAD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EDB7DA3"/>
    <w:multiLevelType w:val="multilevel"/>
    <w:tmpl w:val="29EA4D48"/>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701"/>
        </w:tabs>
        <w:ind w:left="1701" w:hanging="850"/>
      </w:pPr>
      <w:rPr>
        <w:rFonts w:hint="default"/>
      </w:rPr>
    </w:lvl>
    <w:lvl w:ilvl="2">
      <w:start w:val="1"/>
      <w:numFmt w:val="decimal"/>
      <w:isLgl/>
      <w:lvlText w:val="%1.%2.%3."/>
      <w:lvlJc w:val="left"/>
      <w:pPr>
        <w:tabs>
          <w:tab w:val="num" w:pos="2835"/>
        </w:tabs>
        <w:ind w:left="2835" w:hanging="113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6512340"/>
    <w:multiLevelType w:val="hybridMultilevel"/>
    <w:tmpl w:val="7A88194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25225CD"/>
    <w:multiLevelType w:val="multilevel"/>
    <w:tmpl w:val="D13C6A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9E95A28"/>
    <w:multiLevelType w:val="multilevel"/>
    <w:tmpl w:val="7990FF70"/>
    <w:lvl w:ilvl="0">
      <w:start w:val="1"/>
      <w:numFmt w:val="decimal"/>
      <w:lvlText w:val="%1."/>
      <w:lvlJc w:val="left"/>
      <w:pPr>
        <w:tabs>
          <w:tab w:val="num" w:pos="1702"/>
        </w:tabs>
        <w:ind w:left="1702" w:hanging="851"/>
      </w:pPr>
      <w:rPr>
        <w:rFonts w:hint="default"/>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2651"/>
        </w:tabs>
        <w:ind w:left="2075" w:hanging="504"/>
      </w:pPr>
      <w:rPr>
        <w:rFonts w:hint="default"/>
      </w:rPr>
    </w:lvl>
    <w:lvl w:ilvl="3">
      <w:start w:val="1"/>
      <w:numFmt w:val="decimal"/>
      <w:lvlText w:val="%1.%2.%3.%4."/>
      <w:lvlJc w:val="left"/>
      <w:pPr>
        <w:tabs>
          <w:tab w:val="num" w:pos="3371"/>
        </w:tabs>
        <w:ind w:left="2579" w:hanging="648"/>
      </w:pPr>
      <w:rPr>
        <w:rFonts w:hint="default"/>
      </w:rPr>
    </w:lvl>
    <w:lvl w:ilvl="4">
      <w:start w:val="1"/>
      <w:numFmt w:val="decimal"/>
      <w:lvlText w:val="%1.%2.%3.%4.%5."/>
      <w:lvlJc w:val="left"/>
      <w:pPr>
        <w:tabs>
          <w:tab w:val="num" w:pos="4091"/>
        </w:tabs>
        <w:ind w:left="3083" w:hanging="792"/>
      </w:pPr>
      <w:rPr>
        <w:rFonts w:hint="default"/>
      </w:rPr>
    </w:lvl>
    <w:lvl w:ilvl="5">
      <w:start w:val="1"/>
      <w:numFmt w:val="decimal"/>
      <w:lvlText w:val="%1.%2.%3.%4.%5.%6."/>
      <w:lvlJc w:val="left"/>
      <w:pPr>
        <w:tabs>
          <w:tab w:val="num" w:pos="4811"/>
        </w:tabs>
        <w:ind w:left="3587" w:hanging="936"/>
      </w:pPr>
      <w:rPr>
        <w:rFonts w:hint="default"/>
      </w:rPr>
    </w:lvl>
    <w:lvl w:ilvl="6">
      <w:start w:val="1"/>
      <w:numFmt w:val="decimal"/>
      <w:lvlText w:val="%1.%2.%3.%4.%5.%6.%7."/>
      <w:lvlJc w:val="left"/>
      <w:pPr>
        <w:tabs>
          <w:tab w:val="num" w:pos="5531"/>
        </w:tabs>
        <w:ind w:left="4091" w:hanging="1080"/>
      </w:pPr>
      <w:rPr>
        <w:rFonts w:hint="default"/>
      </w:rPr>
    </w:lvl>
    <w:lvl w:ilvl="7">
      <w:start w:val="1"/>
      <w:numFmt w:val="decimal"/>
      <w:lvlText w:val="%1.%2.%3.%4.%5.%6.%7.%8."/>
      <w:lvlJc w:val="left"/>
      <w:pPr>
        <w:tabs>
          <w:tab w:val="num" w:pos="6251"/>
        </w:tabs>
        <w:ind w:left="4595" w:hanging="1224"/>
      </w:pPr>
      <w:rPr>
        <w:rFonts w:hint="default"/>
      </w:rPr>
    </w:lvl>
    <w:lvl w:ilvl="8">
      <w:start w:val="1"/>
      <w:numFmt w:val="decimal"/>
      <w:lvlText w:val="%1.%2.%3.%4.%5.%6.%7.%8.%9."/>
      <w:lvlJc w:val="left"/>
      <w:pPr>
        <w:tabs>
          <w:tab w:val="num" w:pos="6971"/>
        </w:tabs>
        <w:ind w:left="5171" w:hanging="1440"/>
      </w:pPr>
      <w:rPr>
        <w:rFonts w:hint="default"/>
      </w:rPr>
    </w:lvl>
  </w:abstractNum>
  <w:abstractNum w:abstractNumId="18" w15:restartNumberingAfterBreak="0">
    <w:nsid w:val="41A8181E"/>
    <w:multiLevelType w:val="multilevel"/>
    <w:tmpl w:val="6254C5E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701"/>
        </w:tabs>
        <w:ind w:left="1701" w:hanging="850"/>
      </w:pPr>
      <w:rPr>
        <w:rFonts w:hint="default"/>
      </w:rPr>
    </w:lvl>
    <w:lvl w:ilvl="2">
      <w:start w:val="1"/>
      <w:numFmt w:val="decimal"/>
      <w:lvlText w:val="%1.%2.%3."/>
      <w:lvlJc w:val="left"/>
      <w:pPr>
        <w:tabs>
          <w:tab w:val="num" w:pos="2552"/>
        </w:tabs>
        <w:ind w:left="2552" w:hanging="851"/>
      </w:pPr>
      <w:rPr>
        <w:rFonts w:hint="default"/>
      </w:rPr>
    </w:lvl>
    <w:lvl w:ilvl="3">
      <w:start w:val="1"/>
      <w:numFmt w:val="lowerLetter"/>
      <w:lvlText w:val="(%4)"/>
      <w:lvlJc w:val="left"/>
      <w:pPr>
        <w:tabs>
          <w:tab w:val="num" w:pos="2912"/>
        </w:tabs>
        <w:ind w:left="2835" w:hanging="283"/>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9" w15:restartNumberingAfterBreak="0">
    <w:nsid w:val="4A7B1789"/>
    <w:multiLevelType w:val="multilevel"/>
    <w:tmpl w:val="0D8E4332"/>
    <w:lvl w:ilvl="0">
      <w:start w:val="1"/>
      <w:numFmt w:val="decimal"/>
      <w:pStyle w:val="LegalHeading1"/>
      <w:lvlText w:val="%1."/>
      <w:lvlJc w:val="left"/>
      <w:pPr>
        <w:tabs>
          <w:tab w:val="num" w:pos="567"/>
        </w:tabs>
        <w:ind w:left="567" w:hanging="567"/>
      </w:pPr>
      <w:rPr>
        <w:rFonts w:cs="Times New Roman" w:hint="default"/>
        <w:b w:val="0"/>
        <w:i w:val="0"/>
      </w:rPr>
    </w:lvl>
    <w:lvl w:ilvl="1">
      <w:start w:val="1"/>
      <w:numFmt w:val="decimal"/>
      <w:pStyle w:val="LegalHeading2"/>
      <w:lvlText w:val="%1.%2"/>
      <w:lvlJc w:val="left"/>
      <w:pPr>
        <w:tabs>
          <w:tab w:val="num" w:pos="1134"/>
        </w:tabs>
        <w:ind w:left="1134" w:hanging="1134"/>
      </w:pPr>
      <w:rPr>
        <w:rFonts w:cs="Times New Roman" w:hint="default"/>
        <w:b w:val="0"/>
        <w:i w:val="0"/>
      </w:rPr>
    </w:lvl>
    <w:lvl w:ilvl="2">
      <w:start w:val="1"/>
      <w:numFmt w:val="decimal"/>
      <w:pStyle w:val="LegalHeading3"/>
      <w:lvlText w:val="%1.%2.%3"/>
      <w:lvlJc w:val="left"/>
      <w:pPr>
        <w:tabs>
          <w:tab w:val="num" w:pos="1701"/>
        </w:tabs>
        <w:ind w:left="1701" w:hanging="1701"/>
      </w:pPr>
      <w:rPr>
        <w:rFonts w:cs="Times New Roman" w:hint="default"/>
        <w:b w:val="0"/>
        <w:i w:val="0"/>
      </w:rPr>
    </w:lvl>
    <w:lvl w:ilvl="3">
      <w:start w:val="1"/>
      <w:numFmt w:val="decimal"/>
      <w:pStyle w:val="LegalHeading4"/>
      <w:lvlText w:val="%1.%2.%3.%4"/>
      <w:lvlJc w:val="left"/>
      <w:pPr>
        <w:tabs>
          <w:tab w:val="num" w:pos="2268"/>
        </w:tabs>
        <w:ind w:left="2268" w:hanging="2268"/>
      </w:pPr>
      <w:rPr>
        <w:rFonts w:cs="Times New Roman" w:hint="default"/>
        <w:b w:val="0"/>
        <w:i w:val="0"/>
      </w:rPr>
    </w:lvl>
    <w:lvl w:ilvl="4">
      <w:start w:val="1"/>
      <w:numFmt w:val="decimal"/>
      <w:pStyle w:val="LegalHeading5"/>
      <w:lvlText w:val="%1.%2.%3.%4.%5"/>
      <w:lvlJc w:val="left"/>
      <w:pPr>
        <w:tabs>
          <w:tab w:val="num" w:pos="2835"/>
        </w:tabs>
        <w:ind w:left="2835" w:hanging="2835"/>
      </w:pPr>
      <w:rPr>
        <w:rFonts w:cs="Times New Roman" w:hint="default"/>
        <w:b w:val="0"/>
        <w:i w:val="0"/>
      </w:rPr>
    </w:lvl>
    <w:lvl w:ilvl="5">
      <w:start w:val="1"/>
      <w:numFmt w:val="decimal"/>
      <w:pStyle w:val="LegalHeading6"/>
      <w:lvlText w:val="%1.%2.%3.%4.%5.%6"/>
      <w:lvlJc w:val="left"/>
      <w:pPr>
        <w:tabs>
          <w:tab w:val="num" w:pos="3402"/>
        </w:tabs>
        <w:ind w:left="3402" w:hanging="3402"/>
      </w:pPr>
      <w:rPr>
        <w:rFonts w:cs="Times New Roman" w:hint="default"/>
        <w:b w:val="0"/>
        <w:i w:val="0"/>
      </w:rPr>
    </w:lvl>
    <w:lvl w:ilvl="6">
      <w:start w:val="1"/>
      <w:numFmt w:val="decimal"/>
      <w:pStyle w:val="LegalHeading7"/>
      <w:lvlText w:val="%1.%2.%3.%4.%5.%6.%7"/>
      <w:lvlJc w:val="left"/>
      <w:pPr>
        <w:tabs>
          <w:tab w:val="num" w:pos="3969"/>
        </w:tabs>
        <w:ind w:left="3969" w:hanging="3969"/>
      </w:pPr>
      <w:rPr>
        <w:rFonts w:cs="Times New Roman" w:hint="default"/>
        <w:b w:val="0"/>
        <w:i w:val="0"/>
      </w:rPr>
    </w:lvl>
    <w:lvl w:ilvl="7">
      <w:start w:val="1"/>
      <w:numFmt w:val="decimal"/>
      <w:pStyle w:val="LegalHeading8"/>
      <w:lvlText w:val="%1.%2.%3.%4.%5.%6.%7.%8"/>
      <w:lvlJc w:val="left"/>
      <w:pPr>
        <w:tabs>
          <w:tab w:val="num" w:pos="4536"/>
        </w:tabs>
        <w:ind w:left="4536" w:hanging="4536"/>
      </w:pPr>
      <w:rPr>
        <w:rFonts w:cs="Times New Roman" w:hint="default"/>
        <w:b w:val="0"/>
        <w:i w:val="0"/>
      </w:rPr>
    </w:lvl>
    <w:lvl w:ilvl="8">
      <w:start w:val="1"/>
      <w:numFmt w:val="decimal"/>
      <w:lvlText w:val="%1.%2.%3.%4.%5.%6.%7.%8.%9"/>
      <w:lvlJc w:val="left"/>
      <w:pPr>
        <w:tabs>
          <w:tab w:val="num" w:pos="5103"/>
        </w:tabs>
        <w:ind w:left="5103" w:hanging="5103"/>
      </w:pPr>
      <w:rPr>
        <w:rFonts w:cs="Times New Roman" w:hint="default"/>
        <w:b w:val="0"/>
        <w:i w:val="0"/>
      </w:rPr>
    </w:lvl>
  </w:abstractNum>
  <w:abstractNum w:abstractNumId="20" w15:restartNumberingAfterBreak="0">
    <w:nsid w:val="589A5992"/>
    <w:multiLevelType w:val="multilevel"/>
    <w:tmpl w:val="FD343D20"/>
    <w:lvl w:ilvl="0">
      <w:start w:val="5"/>
      <w:numFmt w:val="decimal"/>
      <w:lvlText w:val="%1."/>
      <w:lvlJc w:val="left"/>
      <w:pPr>
        <w:ind w:left="360" w:hanging="360"/>
      </w:pPr>
      <w:rPr>
        <w:rFonts w:hint="default"/>
        <w:b w:val="0"/>
        <w:bCs w:val="0"/>
      </w:rPr>
    </w:lvl>
    <w:lvl w:ilvl="1">
      <w:start w:val="1"/>
      <w:numFmt w:val="decimal"/>
      <w:lvlText w:val="%1.%2."/>
      <w:lvlJc w:val="left"/>
      <w:pPr>
        <w:ind w:left="1800" w:hanging="720"/>
      </w:pPr>
      <w:rPr>
        <w:rFonts w:hint="default"/>
        <w:b w:val="0"/>
        <w:bCs w:val="0"/>
      </w:rPr>
    </w:lvl>
    <w:lvl w:ilvl="2">
      <w:start w:val="1"/>
      <w:numFmt w:val="decimal"/>
      <w:lvlText w:val="%1.%2.%3."/>
      <w:lvlJc w:val="left"/>
      <w:pPr>
        <w:ind w:left="2880" w:hanging="720"/>
      </w:pPr>
      <w:rPr>
        <w:rFonts w:hint="default"/>
        <w:b w:val="0"/>
        <w:bCs w:val="0"/>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1" w15:restartNumberingAfterBreak="0">
    <w:nsid w:val="58A75599"/>
    <w:multiLevelType w:val="multilevel"/>
    <w:tmpl w:val="4254E7BA"/>
    <w:lvl w:ilvl="0">
      <w:start w:val="1"/>
      <w:numFmt w:val="decimal"/>
      <w:pStyle w:val="ListLevel1"/>
      <w:lvlText w:val="%1."/>
      <w:lvlJc w:val="left"/>
      <w:pPr>
        <w:tabs>
          <w:tab w:val="num" w:pos="851"/>
        </w:tabs>
        <w:ind w:left="851" w:hanging="851"/>
      </w:pPr>
      <w:rPr>
        <w:rFonts w:ascii="Arial" w:hAnsi="Arial" w:cs="Arial" w:hint="default"/>
        <w:b w:val="0"/>
        <w:sz w:val="24"/>
        <w:szCs w:val="24"/>
      </w:rPr>
    </w:lvl>
    <w:lvl w:ilvl="1">
      <w:start w:val="1"/>
      <w:numFmt w:val="decimal"/>
      <w:pStyle w:val="ListLevel2"/>
      <w:lvlText w:val="%1.%2."/>
      <w:lvlJc w:val="left"/>
      <w:pPr>
        <w:tabs>
          <w:tab w:val="num" w:pos="1701"/>
        </w:tabs>
        <w:ind w:left="1701" w:hanging="850"/>
      </w:pPr>
      <w:rPr>
        <w:rFonts w:hint="default"/>
        <w:b w:val="0"/>
      </w:rPr>
    </w:lvl>
    <w:lvl w:ilvl="2">
      <w:start w:val="1"/>
      <w:numFmt w:val="decimal"/>
      <w:pStyle w:val="ListLevel3"/>
      <w:lvlText w:val="%1.%2.%3."/>
      <w:lvlJc w:val="left"/>
      <w:pPr>
        <w:tabs>
          <w:tab w:val="num" w:pos="2552"/>
        </w:tabs>
        <w:ind w:left="2552" w:hanging="851"/>
      </w:pPr>
      <w:rPr>
        <w:rFonts w:hint="default"/>
        <w:b w:val="0"/>
      </w:rPr>
    </w:lvl>
    <w:lvl w:ilvl="3">
      <w:start w:val="1"/>
      <w:numFmt w:val="lowerLetter"/>
      <w:pStyle w:val="ListLevel4"/>
      <w:lvlText w:val="(%4)"/>
      <w:lvlJc w:val="left"/>
      <w:pPr>
        <w:tabs>
          <w:tab w:val="num" w:pos="3119"/>
        </w:tabs>
        <w:ind w:left="3119" w:hanging="567"/>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15:restartNumberingAfterBreak="0">
    <w:nsid w:val="6EF74C54"/>
    <w:multiLevelType w:val="hybridMultilevel"/>
    <w:tmpl w:val="ED8CC510"/>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75033606"/>
    <w:multiLevelType w:val="multilevel"/>
    <w:tmpl w:val="1F56966A"/>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2552"/>
        </w:tabs>
        <w:ind w:left="2552" w:hanging="851"/>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4" w15:restartNumberingAfterBreak="0">
    <w:nsid w:val="7D0C17F3"/>
    <w:multiLevelType w:val="hybridMultilevel"/>
    <w:tmpl w:val="D974C486"/>
    <w:lvl w:ilvl="0" w:tplc="9200AADE">
      <w:start w:val="1"/>
      <w:numFmt w:val="lowerRoman"/>
      <w:pStyle w:val="onebracket"/>
      <w:lvlText w:val="(%1)"/>
      <w:lvlJc w:val="left"/>
      <w:pPr>
        <w:tabs>
          <w:tab w:val="num" w:pos="851"/>
        </w:tabs>
        <w:ind w:left="851" w:hanging="851"/>
      </w:pPr>
      <w:rPr>
        <w:rFonts w:hint="default"/>
      </w:rPr>
    </w:lvl>
    <w:lvl w:ilvl="1" w:tplc="A5820FF8" w:tentative="1">
      <w:start w:val="1"/>
      <w:numFmt w:val="lowerLetter"/>
      <w:lvlText w:val="%2."/>
      <w:lvlJc w:val="left"/>
      <w:pPr>
        <w:tabs>
          <w:tab w:val="num" w:pos="1440"/>
        </w:tabs>
        <w:ind w:left="1440" w:hanging="360"/>
      </w:pPr>
    </w:lvl>
    <w:lvl w:ilvl="2" w:tplc="21D8BF9E" w:tentative="1">
      <w:start w:val="1"/>
      <w:numFmt w:val="lowerRoman"/>
      <w:lvlText w:val="%3."/>
      <w:lvlJc w:val="right"/>
      <w:pPr>
        <w:tabs>
          <w:tab w:val="num" w:pos="2160"/>
        </w:tabs>
        <w:ind w:left="2160" w:hanging="180"/>
      </w:pPr>
    </w:lvl>
    <w:lvl w:ilvl="3" w:tplc="B832E58A" w:tentative="1">
      <w:start w:val="1"/>
      <w:numFmt w:val="decimal"/>
      <w:lvlText w:val="%4."/>
      <w:lvlJc w:val="left"/>
      <w:pPr>
        <w:tabs>
          <w:tab w:val="num" w:pos="2880"/>
        </w:tabs>
        <w:ind w:left="2880" w:hanging="360"/>
      </w:pPr>
    </w:lvl>
    <w:lvl w:ilvl="4" w:tplc="8410E02A" w:tentative="1">
      <w:start w:val="1"/>
      <w:numFmt w:val="lowerLetter"/>
      <w:lvlText w:val="%5."/>
      <w:lvlJc w:val="left"/>
      <w:pPr>
        <w:tabs>
          <w:tab w:val="num" w:pos="3600"/>
        </w:tabs>
        <w:ind w:left="3600" w:hanging="360"/>
      </w:pPr>
    </w:lvl>
    <w:lvl w:ilvl="5" w:tplc="6E620354" w:tentative="1">
      <w:start w:val="1"/>
      <w:numFmt w:val="lowerRoman"/>
      <w:lvlText w:val="%6."/>
      <w:lvlJc w:val="right"/>
      <w:pPr>
        <w:tabs>
          <w:tab w:val="num" w:pos="4320"/>
        </w:tabs>
        <w:ind w:left="4320" w:hanging="180"/>
      </w:pPr>
    </w:lvl>
    <w:lvl w:ilvl="6" w:tplc="2916A49A" w:tentative="1">
      <w:start w:val="1"/>
      <w:numFmt w:val="decimal"/>
      <w:lvlText w:val="%7."/>
      <w:lvlJc w:val="left"/>
      <w:pPr>
        <w:tabs>
          <w:tab w:val="num" w:pos="5040"/>
        </w:tabs>
        <w:ind w:left="5040" w:hanging="360"/>
      </w:pPr>
    </w:lvl>
    <w:lvl w:ilvl="7" w:tplc="42120482" w:tentative="1">
      <w:start w:val="1"/>
      <w:numFmt w:val="lowerLetter"/>
      <w:lvlText w:val="%8."/>
      <w:lvlJc w:val="left"/>
      <w:pPr>
        <w:tabs>
          <w:tab w:val="num" w:pos="5760"/>
        </w:tabs>
        <w:ind w:left="5760" w:hanging="360"/>
      </w:pPr>
    </w:lvl>
    <w:lvl w:ilvl="8" w:tplc="6CE60B44" w:tentative="1">
      <w:start w:val="1"/>
      <w:numFmt w:val="lowerRoman"/>
      <w:lvlText w:val="%9."/>
      <w:lvlJc w:val="right"/>
      <w:pPr>
        <w:tabs>
          <w:tab w:val="num" w:pos="6480"/>
        </w:tabs>
        <w:ind w:left="6480" w:hanging="180"/>
      </w:pPr>
    </w:lvl>
  </w:abstractNum>
  <w:num w:numId="1" w16cid:durableId="787629539">
    <w:abstractNumId w:val="14"/>
  </w:num>
  <w:num w:numId="2" w16cid:durableId="657004736">
    <w:abstractNumId w:val="17"/>
  </w:num>
  <w:num w:numId="3" w16cid:durableId="1421950968">
    <w:abstractNumId w:val="23"/>
  </w:num>
  <w:num w:numId="4" w16cid:durableId="884028834">
    <w:abstractNumId w:val="18"/>
  </w:num>
  <w:num w:numId="5" w16cid:durableId="1582107407">
    <w:abstractNumId w:val="21"/>
  </w:num>
  <w:num w:numId="6" w16cid:durableId="1316491674">
    <w:abstractNumId w:val="9"/>
  </w:num>
  <w:num w:numId="7" w16cid:durableId="513227185">
    <w:abstractNumId w:val="7"/>
  </w:num>
  <w:num w:numId="8" w16cid:durableId="42097798">
    <w:abstractNumId w:val="6"/>
  </w:num>
  <w:num w:numId="9" w16cid:durableId="647903177">
    <w:abstractNumId w:val="5"/>
  </w:num>
  <w:num w:numId="10" w16cid:durableId="119958491">
    <w:abstractNumId w:val="4"/>
  </w:num>
  <w:num w:numId="11" w16cid:durableId="1605113278">
    <w:abstractNumId w:val="8"/>
  </w:num>
  <w:num w:numId="12" w16cid:durableId="437337372">
    <w:abstractNumId w:val="3"/>
  </w:num>
  <w:num w:numId="13" w16cid:durableId="890574076">
    <w:abstractNumId w:val="2"/>
  </w:num>
  <w:num w:numId="14" w16cid:durableId="1714423829">
    <w:abstractNumId w:val="1"/>
  </w:num>
  <w:num w:numId="15" w16cid:durableId="1022828693">
    <w:abstractNumId w:val="0"/>
  </w:num>
  <w:num w:numId="16" w16cid:durableId="619723239">
    <w:abstractNumId w:val="11"/>
  </w:num>
  <w:num w:numId="17" w16cid:durableId="75372141">
    <w:abstractNumId w:val="24"/>
  </w:num>
  <w:num w:numId="18" w16cid:durableId="66474870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23314843">
    <w:abstractNumId w:val="21"/>
  </w:num>
  <w:num w:numId="20" w16cid:durableId="804808327">
    <w:abstractNumId w:val="11"/>
  </w:num>
  <w:num w:numId="21" w16cid:durableId="168057504">
    <w:abstractNumId w:val="21"/>
  </w:num>
  <w:num w:numId="22" w16cid:durableId="1035155679">
    <w:abstractNumId w:val="21"/>
  </w:num>
  <w:num w:numId="23" w16cid:durableId="538863567">
    <w:abstractNumId w:val="21"/>
  </w:num>
  <w:num w:numId="24" w16cid:durableId="957182500">
    <w:abstractNumId w:val="21"/>
  </w:num>
  <w:num w:numId="25" w16cid:durableId="1890458411">
    <w:abstractNumId w:val="24"/>
  </w:num>
  <w:num w:numId="26" w16cid:durableId="2027637950">
    <w:abstractNumId w:val="21"/>
  </w:num>
  <w:num w:numId="27" w16cid:durableId="1539006985">
    <w:abstractNumId w:val="21"/>
  </w:num>
  <w:num w:numId="28" w16cid:durableId="2015107977">
    <w:abstractNumId w:val="15"/>
  </w:num>
  <w:num w:numId="29" w16cid:durableId="1118450330">
    <w:abstractNumId w:val="20"/>
  </w:num>
  <w:num w:numId="30" w16cid:durableId="1059355140">
    <w:abstractNumId w:val="21"/>
  </w:num>
  <w:num w:numId="31" w16cid:durableId="2009482632">
    <w:abstractNumId w:val="21"/>
  </w:num>
  <w:num w:numId="32" w16cid:durableId="164707200">
    <w:abstractNumId w:val="21"/>
  </w:num>
  <w:num w:numId="33" w16cid:durableId="659818153">
    <w:abstractNumId w:val="21"/>
  </w:num>
  <w:num w:numId="34" w16cid:durableId="1470972263">
    <w:abstractNumId w:val="21"/>
  </w:num>
  <w:num w:numId="35" w16cid:durableId="674963372">
    <w:abstractNumId w:val="21"/>
  </w:num>
  <w:num w:numId="36" w16cid:durableId="1450395115">
    <w:abstractNumId w:val="21"/>
  </w:num>
  <w:num w:numId="37" w16cid:durableId="68617438">
    <w:abstractNumId w:val="21"/>
  </w:num>
  <w:num w:numId="38" w16cid:durableId="37828680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49787018">
    <w:abstractNumId w:val="10"/>
  </w:num>
  <w:num w:numId="40" w16cid:durableId="79376406">
    <w:abstractNumId w:val="22"/>
  </w:num>
  <w:num w:numId="41" w16cid:durableId="299576084">
    <w:abstractNumId w:val="21"/>
    <w:lvlOverride w:ilvl="0">
      <w:startOverride w:val="24"/>
    </w:lvlOverride>
  </w:num>
  <w:num w:numId="42" w16cid:durableId="1452095423">
    <w:abstractNumId w:val="13"/>
  </w:num>
  <w:num w:numId="43" w16cid:durableId="2072773772">
    <w:abstractNumId w:val="16"/>
  </w:num>
  <w:num w:numId="44" w16cid:durableId="1320215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B01"/>
    <w:rsid w:val="00004C54"/>
    <w:rsid w:val="00006026"/>
    <w:rsid w:val="00013B60"/>
    <w:rsid w:val="000216D4"/>
    <w:rsid w:val="00033E50"/>
    <w:rsid w:val="000365F3"/>
    <w:rsid w:val="00037ABE"/>
    <w:rsid w:val="000441BE"/>
    <w:rsid w:val="00053EAD"/>
    <w:rsid w:val="0005613B"/>
    <w:rsid w:val="00061AE0"/>
    <w:rsid w:val="00066255"/>
    <w:rsid w:val="00067824"/>
    <w:rsid w:val="00071DB3"/>
    <w:rsid w:val="00071E5D"/>
    <w:rsid w:val="00076BDF"/>
    <w:rsid w:val="00080FB7"/>
    <w:rsid w:val="00081BE5"/>
    <w:rsid w:val="00087C98"/>
    <w:rsid w:val="00090E23"/>
    <w:rsid w:val="00092FE9"/>
    <w:rsid w:val="000A2905"/>
    <w:rsid w:val="000A2BCB"/>
    <w:rsid w:val="000A6A6B"/>
    <w:rsid w:val="000B48F5"/>
    <w:rsid w:val="000C003D"/>
    <w:rsid w:val="000C47E7"/>
    <w:rsid w:val="000C5FBC"/>
    <w:rsid w:val="000D2B12"/>
    <w:rsid w:val="000D43BB"/>
    <w:rsid w:val="000E000A"/>
    <w:rsid w:val="000E1FD0"/>
    <w:rsid w:val="000F74DE"/>
    <w:rsid w:val="001009DF"/>
    <w:rsid w:val="00101BCD"/>
    <w:rsid w:val="00103B17"/>
    <w:rsid w:val="00110CBE"/>
    <w:rsid w:val="001117BB"/>
    <w:rsid w:val="0011358F"/>
    <w:rsid w:val="0011689E"/>
    <w:rsid w:val="00123821"/>
    <w:rsid w:val="00123D17"/>
    <w:rsid w:val="00124D56"/>
    <w:rsid w:val="00125A20"/>
    <w:rsid w:val="001358D7"/>
    <w:rsid w:val="00137534"/>
    <w:rsid w:val="00137668"/>
    <w:rsid w:val="00137A1D"/>
    <w:rsid w:val="0014765C"/>
    <w:rsid w:val="0015047D"/>
    <w:rsid w:val="001522B0"/>
    <w:rsid w:val="0015362C"/>
    <w:rsid w:val="00157C9E"/>
    <w:rsid w:val="001657D4"/>
    <w:rsid w:val="001675D3"/>
    <w:rsid w:val="00171A21"/>
    <w:rsid w:val="00173D11"/>
    <w:rsid w:val="001900BD"/>
    <w:rsid w:val="00193F4D"/>
    <w:rsid w:val="00195B18"/>
    <w:rsid w:val="00196447"/>
    <w:rsid w:val="001A04CB"/>
    <w:rsid w:val="001A3074"/>
    <w:rsid w:val="001A3C58"/>
    <w:rsid w:val="001A4B73"/>
    <w:rsid w:val="001A6EC3"/>
    <w:rsid w:val="001B01DE"/>
    <w:rsid w:val="001B2387"/>
    <w:rsid w:val="001C327E"/>
    <w:rsid w:val="001C4967"/>
    <w:rsid w:val="001C5E9C"/>
    <w:rsid w:val="001D1286"/>
    <w:rsid w:val="001D275E"/>
    <w:rsid w:val="001D4E85"/>
    <w:rsid w:val="001D7B2F"/>
    <w:rsid w:val="001E4A36"/>
    <w:rsid w:val="001F55DE"/>
    <w:rsid w:val="001F6793"/>
    <w:rsid w:val="00200B29"/>
    <w:rsid w:val="0020109A"/>
    <w:rsid w:val="0020162A"/>
    <w:rsid w:val="002023A3"/>
    <w:rsid w:val="00203E3E"/>
    <w:rsid w:val="0020673B"/>
    <w:rsid w:val="002072EC"/>
    <w:rsid w:val="0021065B"/>
    <w:rsid w:val="002110E4"/>
    <w:rsid w:val="0021362A"/>
    <w:rsid w:val="0022259E"/>
    <w:rsid w:val="00231D01"/>
    <w:rsid w:val="00231FB5"/>
    <w:rsid w:val="0023269D"/>
    <w:rsid w:val="00232A21"/>
    <w:rsid w:val="002339F3"/>
    <w:rsid w:val="00234CD3"/>
    <w:rsid w:val="00236296"/>
    <w:rsid w:val="002407F5"/>
    <w:rsid w:val="00244218"/>
    <w:rsid w:val="0025601B"/>
    <w:rsid w:val="002570F3"/>
    <w:rsid w:val="002639BE"/>
    <w:rsid w:val="00271D85"/>
    <w:rsid w:val="002826FE"/>
    <w:rsid w:val="0029509E"/>
    <w:rsid w:val="00295F84"/>
    <w:rsid w:val="002A1E46"/>
    <w:rsid w:val="002C52D0"/>
    <w:rsid w:val="002C6E15"/>
    <w:rsid w:val="002D192B"/>
    <w:rsid w:val="002D4D40"/>
    <w:rsid w:val="002D7827"/>
    <w:rsid w:val="002F1EF0"/>
    <w:rsid w:val="00303161"/>
    <w:rsid w:val="00304CA0"/>
    <w:rsid w:val="00304DC8"/>
    <w:rsid w:val="00305577"/>
    <w:rsid w:val="00311A6A"/>
    <w:rsid w:val="00314AB9"/>
    <w:rsid w:val="0031738C"/>
    <w:rsid w:val="00317DE7"/>
    <w:rsid w:val="00340C7A"/>
    <w:rsid w:val="003530C1"/>
    <w:rsid w:val="00355634"/>
    <w:rsid w:val="00356C1E"/>
    <w:rsid w:val="00361C70"/>
    <w:rsid w:val="00366D50"/>
    <w:rsid w:val="00367C1B"/>
    <w:rsid w:val="00380294"/>
    <w:rsid w:val="003803D6"/>
    <w:rsid w:val="00384686"/>
    <w:rsid w:val="00384C82"/>
    <w:rsid w:val="0038630C"/>
    <w:rsid w:val="00391B0E"/>
    <w:rsid w:val="00394560"/>
    <w:rsid w:val="0039654F"/>
    <w:rsid w:val="003A07E8"/>
    <w:rsid w:val="003A2AA1"/>
    <w:rsid w:val="003A2AAE"/>
    <w:rsid w:val="003A4095"/>
    <w:rsid w:val="003A4349"/>
    <w:rsid w:val="003B1DB3"/>
    <w:rsid w:val="003B7394"/>
    <w:rsid w:val="003C1552"/>
    <w:rsid w:val="003C1A23"/>
    <w:rsid w:val="003C65FD"/>
    <w:rsid w:val="003C6E19"/>
    <w:rsid w:val="003D2C2D"/>
    <w:rsid w:val="003E353F"/>
    <w:rsid w:val="003E74FC"/>
    <w:rsid w:val="003F078F"/>
    <w:rsid w:val="00400FC9"/>
    <w:rsid w:val="00402E6B"/>
    <w:rsid w:val="004036F2"/>
    <w:rsid w:val="00405ECC"/>
    <w:rsid w:val="00423CB0"/>
    <w:rsid w:val="0042724C"/>
    <w:rsid w:val="004305FF"/>
    <w:rsid w:val="00430790"/>
    <w:rsid w:val="00436C67"/>
    <w:rsid w:val="00436D72"/>
    <w:rsid w:val="00446496"/>
    <w:rsid w:val="004466E5"/>
    <w:rsid w:val="00451991"/>
    <w:rsid w:val="00460C4D"/>
    <w:rsid w:val="004770BB"/>
    <w:rsid w:val="00480F58"/>
    <w:rsid w:val="004811EA"/>
    <w:rsid w:val="004815F8"/>
    <w:rsid w:val="004860E8"/>
    <w:rsid w:val="00490977"/>
    <w:rsid w:val="00491E45"/>
    <w:rsid w:val="004A1D8B"/>
    <w:rsid w:val="004A43F3"/>
    <w:rsid w:val="004A6265"/>
    <w:rsid w:val="004B15A9"/>
    <w:rsid w:val="004B4B01"/>
    <w:rsid w:val="004B5191"/>
    <w:rsid w:val="004B6AD3"/>
    <w:rsid w:val="004C5C55"/>
    <w:rsid w:val="004C5EB1"/>
    <w:rsid w:val="004D0D37"/>
    <w:rsid w:val="004D5DDE"/>
    <w:rsid w:val="004E37E5"/>
    <w:rsid w:val="004E4880"/>
    <w:rsid w:val="004E6608"/>
    <w:rsid w:val="004F5A63"/>
    <w:rsid w:val="004F5C32"/>
    <w:rsid w:val="00506922"/>
    <w:rsid w:val="005107A7"/>
    <w:rsid w:val="005122F7"/>
    <w:rsid w:val="00514CBD"/>
    <w:rsid w:val="00517EC5"/>
    <w:rsid w:val="005241B4"/>
    <w:rsid w:val="00524A60"/>
    <w:rsid w:val="005342E0"/>
    <w:rsid w:val="005355BB"/>
    <w:rsid w:val="005411EF"/>
    <w:rsid w:val="005500E4"/>
    <w:rsid w:val="00550532"/>
    <w:rsid w:val="00555B5D"/>
    <w:rsid w:val="00571E7D"/>
    <w:rsid w:val="00575A42"/>
    <w:rsid w:val="0057637E"/>
    <w:rsid w:val="00580A0E"/>
    <w:rsid w:val="005821C7"/>
    <w:rsid w:val="005827DD"/>
    <w:rsid w:val="00583855"/>
    <w:rsid w:val="00583B74"/>
    <w:rsid w:val="00584D89"/>
    <w:rsid w:val="00585E16"/>
    <w:rsid w:val="00593E3F"/>
    <w:rsid w:val="00596FA2"/>
    <w:rsid w:val="00597729"/>
    <w:rsid w:val="005B2B01"/>
    <w:rsid w:val="005B386A"/>
    <w:rsid w:val="005C76CC"/>
    <w:rsid w:val="005D1358"/>
    <w:rsid w:val="005D2AEE"/>
    <w:rsid w:val="005D4E87"/>
    <w:rsid w:val="005D4FEA"/>
    <w:rsid w:val="005D5358"/>
    <w:rsid w:val="005D6C4D"/>
    <w:rsid w:val="005F03D8"/>
    <w:rsid w:val="005F4062"/>
    <w:rsid w:val="0060431F"/>
    <w:rsid w:val="006107B8"/>
    <w:rsid w:val="00613FA0"/>
    <w:rsid w:val="00623303"/>
    <w:rsid w:val="006308D0"/>
    <w:rsid w:val="0064220B"/>
    <w:rsid w:val="00644A69"/>
    <w:rsid w:val="006451F6"/>
    <w:rsid w:val="00650BB0"/>
    <w:rsid w:val="0065104A"/>
    <w:rsid w:val="006527F3"/>
    <w:rsid w:val="006576AF"/>
    <w:rsid w:val="0066170F"/>
    <w:rsid w:val="0067260F"/>
    <w:rsid w:val="006766BB"/>
    <w:rsid w:val="00684053"/>
    <w:rsid w:val="00684A2E"/>
    <w:rsid w:val="0069151E"/>
    <w:rsid w:val="00692ED6"/>
    <w:rsid w:val="00692F62"/>
    <w:rsid w:val="00694F7F"/>
    <w:rsid w:val="006A0EDE"/>
    <w:rsid w:val="006A6DCE"/>
    <w:rsid w:val="006C02F0"/>
    <w:rsid w:val="006C21F0"/>
    <w:rsid w:val="006C3E2C"/>
    <w:rsid w:val="006C6F9A"/>
    <w:rsid w:val="006D080B"/>
    <w:rsid w:val="006D34DA"/>
    <w:rsid w:val="006E08F8"/>
    <w:rsid w:val="006E6020"/>
    <w:rsid w:val="006F061C"/>
    <w:rsid w:val="006F0FD7"/>
    <w:rsid w:val="006F1EEB"/>
    <w:rsid w:val="006F2B4C"/>
    <w:rsid w:val="006F6D03"/>
    <w:rsid w:val="006F78F5"/>
    <w:rsid w:val="006F7FD4"/>
    <w:rsid w:val="00700AAC"/>
    <w:rsid w:val="007032F1"/>
    <w:rsid w:val="00704226"/>
    <w:rsid w:val="00713943"/>
    <w:rsid w:val="00734713"/>
    <w:rsid w:val="00735B93"/>
    <w:rsid w:val="00754981"/>
    <w:rsid w:val="00756CB3"/>
    <w:rsid w:val="00764367"/>
    <w:rsid w:val="007655D8"/>
    <w:rsid w:val="00767660"/>
    <w:rsid w:val="00777D16"/>
    <w:rsid w:val="007812B4"/>
    <w:rsid w:val="007813DB"/>
    <w:rsid w:val="007855E3"/>
    <w:rsid w:val="00785F09"/>
    <w:rsid w:val="007878C8"/>
    <w:rsid w:val="007926BE"/>
    <w:rsid w:val="007938FD"/>
    <w:rsid w:val="00794A2D"/>
    <w:rsid w:val="00794D8B"/>
    <w:rsid w:val="00796230"/>
    <w:rsid w:val="00796EC6"/>
    <w:rsid w:val="007A3556"/>
    <w:rsid w:val="007B548A"/>
    <w:rsid w:val="007C2782"/>
    <w:rsid w:val="007C4A59"/>
    <w:rsid w:val="007D031A"/>
    <w:rsid w:val="007E26CC"/>
    <w:rsid w:val="007E7F17"/>
    <w:rsid w:val="007F65F1"/>
    <w:rsid w:val="007F68F8"/>
    <w:rsid w:val="00800B32"/>
    <w:rsid w:val="00801F7F"/>
    <w:rsid w:val="00804BC7"/>
    <w:rsid w:val="00804F56"/>
    <w:rsid w:val="00806585"/>
    <w:rsid w:val="00817980"/>
    <w:rsid w:val="00825483"/>
    <w:rsid w:val="00837542"/>
    <w:rsid w:val="00844280"/>
    <w:rsid w:val="00855771"/>
    <w:rsid w:val="008612FA"/>
    <w:rsid w:val="008617E5"/>
    <w:rsid w:val="00872C93"/>
    <w:rsid w:val="008748EA"/>
    <w:rsid w:val="00875BF7"/>
    <w:rsid w:val="00881BAF"/>
    <w:rsid w:val="00881D5A"/>
    <w:rsid w:val="008832D7"/>
    <w:rsid w:val="008851CD"/>
    <w:rsid w:val="00885AF7"/>
    <w:rsid w:val="0089150A"/>
    <w:rsid w:val="00893AD6"/>
    <w:rsid w:val="00895B4D"/>
    <w:rsid w:val="00895D27"/>
    <w:rsid w:val="008A063F"/>
    <w:rsid w:val="008A3A59"/>
    <w:rsid w:val="008A51B7"/>
    <w:rsid w:val="008D24EB"/>
    <w:rsid w:val="008D6238"/>
    <w:rsid w:val="008E7595"/>
    <w:rsid w:val="008F4911"/>
    <w:rsid w:val="009007AB"/>
    <w:rsid w:val="00903EF6"/>
    <w:rsid w:val="009102C0"/>
    <w:rsid w:val="00910B35"/>
    <w:rsid w:val="009231D2"/>
    <w:rsid w:val="00924030"/>
    <w:rsid w:val="009243F6"/>
    <w:rsid w:val="00926944"/>
    <w:rsid w:val="009270B9"/>
    <w:rsid w:val="00927344"/>
    <w:rsid w:val="00930B3C"/>
    <w:rsid w:val="00935BA4"/>
    <w:rsid w:val="009368E9"/>
    <w:rsid w:val="009404D7"/>
    <w:rsid w:val="0094488E"/>
    <w:rsid w:val="00950261"/>
    <w:rsid w:val="009539AB"/>
    <w:rsid w:val="00953AFE"/>
    <w:rsid w:val="009571CE"/>
    <w:rsid w:val="00965FD1"/>
    <w:rsid w:val="009670F5"/>
    <w:rsid w:val="009727B3"/>
    <w:rsid w:val="009769F2"/>
    <w:rsid w:val="0098104B"/>
    <w:rsid w:val="009829EC"/>
    <w:rsid w:val="00982CB3"/>
    <w:rsid w:val="00983407"/>
    <w:rsid w:val="00984EE7"/>
    <w:rsid w:val="00986346"/>
    <w:rsid w:val="00986C45"/>
    <w:rsid w:val="00990A14"/>
    <w:rsid w:val="00993DCA"/>
    <w:rsid w:val="009943B8"/>
    <w:rsid w:val="00997AD8"/>
    <w:rsid w:val="009A6F38"/>
    <w:rsid w:val="009A759E"/>
    <w:rsid w:val="009B0F23"/>
    <w:rsid w:val="009B4F05"/>
    <w:rsid w:val="009C03AB"/>
    <w:rsid w:val="009C1793"/>
    <w:rsid w:val="009E4E22"/>
    <w:rsid w:val="009E7D69"/>
    <w:rsid w:val="009F4220"/>
    <w:rsid w:val="009F640B"/>
    <w:rsid w:val="009F6B36"/>
    <w:rsid w:val="009F6CD6"/>
    <w:rsid w:val="00A01A63"/>
    <w:rsid w:val="00A04700"/>
    <w:rsid w:val="00A04879"/>
    <w:rsid w:val="00A116EE"/>
    <w:rsid w:val="00A1177B"/>
    <w:rsid w:val="00A44007"/>
    <w:rsid w:val="00A44620"/>
    <w:rsid w:val="00A4701C"/>
    <w:rsid w:val="00A505D5"/>
    <w:rsid w:val="00A523D6"/>
    <w:rsid w:val="00A548EC"/>
    <w:rsid w:val="00A6635A"/>
    <w:rsid w:val="00A6717E"/>
    <w:rsid w:val="00A71FE0"/>
    <w:rsid w:val="00A7259F"/>
    <w:rsid w:val="00A73962"/>
    <w:rsid w:val="00A73C54"/>
    <w:rsid w:val="00A742AE"/>
    <w:rsid w:val="00A813F2"/>
    <w:rsid w:val="00A83DBA"/>
    <w:rsid w:val="00A9413E"/>
    <w:rsid w:val="00A95AE7"/>
    <w:rsid w:val="00AA5F50"/>
    <w:rsid w:val="00AB0FC0"/>
    <w:rsid w:val="00AB715D"/>
    <w:rsid w:val="00AC140C"/>
    <w:rsid w:val="00AC666D"/>
    <w:rsid w:val="00AD07CF"/>
    <w:rsid w:val="00AD27A5"/>
    <w:rsid w:val="00AD62A7"/>
    <w:rsid w:val="00AE4772"/>
    <w:rsid w:val="00AF0D03"/>
    <w:rsid w:val="00B03D67"/>
    <w:rsid w:val="00B05014"/>
    <w:rsid w:val="00B143D7"/>
    <w:rsid w:val="00B1536E"/>
    <w:rsid w:val="00B20A15"/>
    <w:rsid w:val="00B20BD4"/>
    <w:rsid w:val="00B23010"/>
    <w:rsid w:val="00B234D9"/>
    <w:rsid w:val="00B23EB8"/>
    <w:rsid w:val="00B24139"/>
    <w:rsid w:val="00B40D93"/>
    <w:rsid w:val="00B41BEC"/>
    <w:rsid w:val="00B47FB0"/>
    <w:rsid w:val="00B54626"/>
    <w:rsid w:val="00B54E53"/>
    <w:rsid w:val="00B562C6"/>
    <w:rsid w:val="00B7267A"/>
    <w:rsid w:val="00B81B87"/>
    <w:rsid w:val="00B82859"/>
    <w:rsid w:val="00B92A73"/>
    <w:rsid w:val="00B92DBC"/>
    <w:rsid w:val="00BA38AD"/>
    <w:rsid w:val="00BB210F"/>
    <w:rsid w:val="00BB34DD"/>
    <w:rsid w:val="00BC083D"/>
    <w:rsid w:val="00BC09F2"/>
    <w:rsid w:val="00BD3A49"/>
    <w:rsid w:val="00BD73EF"/>
    <w:rsid w:val="00BE0913"/>
    <w:rsid w:val="00BE2657"/>
    <w:rsid w:val="00BE7548"/>
    <w:rsid w:val="00BF01B6"/>
    <w:rsid w:val="00BF071D"/>
    <w:rsid w:val="00BF414D"/>
    <w:rsid w:val="00BF62BC"/>
    <w:rsid w:val="00BF7D0E"/>
    <w:rsid w:val="00C00440"/>
    <w:rsid w:val="00C0307B"/>
    <w:rsid w:val="00C06DE6"/>
    <w:rsid w:val="00C12FD3"/>
    <w:rsid w:val="00C14D4C"/>
    <w:rsid w:val="00C1517E"/>
    <w:rsid w:val="00C15506"/>
    <w:rsid w:val="00C172CC"/>
    <w:rsid w:val="00C17C33"/>
    <w:rsid w:val="00C216CD"/>
    <w:rsid w:val="00C21B8C"/>
    <w:rsid w:val="00C2519C"/>
    <w:rsid w:val="00C2718F"/>
    <w:rsid w:val="00C307C7"/>
    <w:rsid w:val="00C32D70"/>
    <w:rsid w:val="00C34C50"/>
    <w:rsid w:val="00C35923"/>
    <w:rsid w:val="00C40D08"/>
    <w:rsid w:val="00C465ED"/>
    <w:rsid w:val="00C46EF1"/>
    <w:rsid w:val="00C470CC"/>
    <w:rsid w:val="00C54DF0"/>
    <w:rsid w:val="00C55196"/>
    <w:rsid w:val="00C55CC1"/>
    <w:rsid w:val="00C61290"/>
    <w:rsid w:val="00C61FDC"/>
    <w:rsid w:val="00C67296"/>
    <w:rsid w:val="00C70C22"/>
    <w:rsid w:val="00C73C01"/>
    <w:rsid w:val="00C73E9F"/>
    <w:rsid w:val="00C97536"/>
    <w:rsid w:val="00CB25CA"/>
    <w:rsid w:val="00CB3791"/>
    <w:rsid w:val="00CC7C62"/>
    <w:rsid w:val="00CE20D0"/>
    <w:rsid w:val="00CF0140"/>
    <w:rsid w:val="00CF017E"/>
    <w:rsid w:val="00CF23E1"/>
    <w:rsid w:val="00CF355B"/>
    <w:rsid w:val="00CF3F9A"/>
    <w:rsid w:val="00D07A0E"/>
    <w:rsid w:val="00D169BE"/>
    <w:rsid w:val="00D274A1"/>
    <w:rsid w:val="00D30D6B"/>
    <w:rsid w:val="00D32BA4"/>
    <w:rsid w:val="00D3359E"/>
    <w:rsid w:val="00D40B07"/>
    <w:rsid w:val="00D4172B"/>
    <w:rsid w:val="00D6286A"/>
    <w:rsid w:val="00D661F1"/>
    <w:rsid w:val="00D6765C"/>
    <w:rsid w:val="00D744D8"/>
    <w:rsid w:val="00D822E4"/>
    <w:rsid w:val="00D832A4"/>
    <w:rsid w:val="00D839F3"/>
    <w:rsid w:val="00D85944"/>
    <w:rsid w:val="00D91B37"/>
    <w:rsid w:val="00D96CEB"/>
    <w:rsid w:val="00D973DE"/>
    <w:rsid w:val="00D97950"/>
    <w:rsid w:val="00DA5808"/>
    <w:rsid w:val="00DA6178"/>
    <w:rsid w:val="00DB0E70"/>
    <w:rsid w:val="00DB1A9C"/>
    <w:rsid w:val="00DB5612"/>
    <w:rsid w:val="00DB7B48"/>
    <w:rsid w:val="00DC122D"/>
    <w:rsid w:val="00DC1DDE"/>
    <w:rsid w:val="00DD00DA"/>
    <w:rsid w:val="00DD2572"/>
    <w:rsid w:val="00DE1E6D"/>
    <w:rsid w:val="00DE584A"/>
    <w:rsid w:val="00DF3E9E"/>
    <w:rsid w:val="00DF406D"/>
    <w:rsid w:val="00DF6847"/>
    <w:rsid w:val="00DF7646"/>
    <w:rsid w:val="00E00582"/>
    <w:rsid w:val="00E12B09"/>
    <w:rsid w:val="00E1327C"/>
    <w:rsid w:val="00E14600"/>
    <w:rsid w:val="00E160C8"/>
    <w:rsid w:val="00E17A62"/>
    <w:rsid w:val="00E20795"/>
    <w:rsid w:val="00E26CD4"/>
    <w:rsid w:val="00E3094A"/>
    <w:rsid w:val="00E31C74"/>
    <w:rsid w:val="00E36934"/>
    <w:rsid w:val="00E36D2E"/>
    <w:rsid w:val="00E375BF"/>
    <w:rsid w:val="00E40577"/>
    <w:rsid w:val="00E41A61"/>
    <w:rsid w:val="00E424E0"/>
    <w:rsid w:val="00E51F4F"/>
    <w:rsid w:val="00E55C3E"/>
    <w:rsid w:val="00E62545"/>
    <w:rsid w:val="00E67E1C"/>
    <w:rsid w:val="00E70FF1"/>
    <w:rsid w:val="00E72385"/>
    <w:rsid w:val="00E73D95"/>
    <w:rsid w:val="00E8276F"/>
    <w:rsid w:val="00E82D7F"/>
    <w:rsid w:val="00E91717"/>
    <w:rsid w:val="00E92F6C"/>
    <w:rsid w:val="00E96A9A"/>
    <w:rsid w:val="00E97E02"/>
    <w:rsid w:val="00EB450D"/>
    <w:rsid w:val="00EC144A"/>
    <w:rsid w:val="00EC20EE"/>
    <w:rsid w:val="00EC2FB8"/>
    <w:rsid w:val="00EC74D4"/>
    <w:rsid w:val="00ED242C"/>
    <w:rsid w:val="00EE4B83"/>
    <w:rsid w:val="00EE7B48"/>
    <w:rsid w:val="00EE7B79"/>
    <w:rsid w:val="00EF24E7"/>
    <w:rsid w:val="00EF2862"/>
    <w:rsid w:val="00F0001C"/>
    <w:rsid w:val="00F016F0"/>
    <w:rsid w:val="00F03B98"/>
    <w:rsid w:val="00F055FD"/>
    <w:rsid w:val="00F147F9"/>
    <w:rsid w:val="00F2318F"/>
    <w:rsid w:val="00F257EA"/>
    <w:rsid w:val="00F27C7C"/>
    <w:rsid w:val="00F37B4F"/>
    <w:rsid w:val="00F47550"/>
    <w:rsid w:val="00F51E9B"/>
    <w:rsid w:val="00F525D9"/>
    <w:rsid w:val="00F53D9C"/>
    <w:rsid w:val="00F577A7"/>
    <w:rsid w:val="00F61E32"/>
    <w:rsid w:val="00F63257"/>
    <w:rsid w:val="00F6416F"/>
    <w:rsid w:val="00F64B82"/>
    <w:rsid w:val="00F6565C"/>
    <w:rsid w:val="00F71EB9"/>
    <w:rsid w:val="00F75A5B"/>
    <w:rsid w:val="00F848AF"/>
    <w:rsid w:val="00F84FE0"/>
    <w:rsid w:val="00F901EF"/>
    <w:rsid w:val="00F90D9E"/>
    <w:rsid w:val="00F91D3F"/>
    <w:rsid w:val="00F92DB6"/>
    <w:rsid w:val="00FA2A73"/>
    <w:rsid w:val="00FA4AA3"/>
    <w:rsid w:val="00FA5E20"/>
    <w:rsid w:val="00FB64EE"/>
    <w:rsid w:val="00FC1980"/>
    <w:rsid w:val="00FC2214"/>
    <w:rsid w:val="00FC7B49"/>
    <w:rsid w:val="00FD737A"/>
    <w:rsid w:val="00FE1342"/>
    <w:rsid w:val="00FE182F"/>
    <w:rsid w:val="00FE52D4"/>
    <w:rsid w:val="00FE74BE"/>
    <w:rsid w:val="00FF1035"/>
    <w:rsid w:val="00FF46B9"/>
    <w:rsid w:val="012A347C"/>
    <w:rsid w:val="019FBFDE"/>
    <w:rsid w:val="01B7B0E3"/>
    <w:rsid w:val="01FF02F3"/>
    <w:rsid w:val="0223F351"/>
    <w:rsid w:val="026FFB89"/>
    <w:rsid w:val="0284C798"/>
    <w:rsid w:val="02AD460A"/>
    <w:rsid w:val="02BD07F7"/>
    <w:rsid w:val="0341C2F3"/>
    <w:rsid w:val="0379A50B"/>
    <w:rsid w:val="037DD571"/>
    <w:rsid w:val="03D2019B"/>
    <w:rsid w:val="03D41201"/>
    <w:rsid w:val="041CC88F"/>
    <w:rsid w:val="04916F35"/>
    <w:rsid w:val="04F420DB"/>
    <w:rsid w:val="0529FB74"/>
    <w:rsid w:val="0544A158"/>
    <w:rsid w:val="05B5132F"/>
    <w:rsid w:val="06DAEB6B"/>
    <w:rsid w:val="07AF9E77"/>
    <w:rsid w:val="07D0FC74"/>
    <w:rsid w:val="088A1F9E"/>
    <w:rsid w:val="099D01BE"/>
    <w:rsid w:val="09BE5915"/>
    <w:rsid w:val="0A2039D1"/>
    <w:rsid w:val="0A2A0465"/>
    <w:rsid w:val="0A5BAA2E"/>
    <w:rsid w:val="0A631656"/>
    <w:rsid w:val="0A6B0A61"/>
    <w:rsid w:val="0AF4A7F0"/>
    <w:rsid w:val="0B0CC551"/>
    <w:rsid w:val="0C0F56AC"/>
    <w:rsid w:val="0C1BA395"/>
    <w:rsid w:val="0C2B0254"/>
    <w:rsid w:val="0C735D72"/>
    <w:rsid w:val="0CAD01F7"/>
    <w:rsid w:val="0CBCA668"/>
    <w:rsid w:val="0CD5B617"/>
    <w:rsid w:val="0D495CD1"/>
    <w:rsid w:val="0D5CA105"/>
    <w:rsid w:val="0D8EECC4"/>
    <w:rsid w:val="0DF929E9"/>
    <w:rsid w:val="0E3EB5D5"/>
    <w:rsid w:val="0E723CF9"/>
    <w:rsid w:val="0E7EA24F"/>
    <w:rsid w:val="0ED97BC0"/>
    <w:rsid w:val="0FC75F8A"/>
    <w:rsid w:val="0FDE7563"/>
    <w:rsid w:val="10D95777"/>
    <w:rsid w:val="11292A89"/>
    <w:rsid w:val="117C024E"/>
    <w:rsid w:val="11C08EDC"/>
    <w:rsid w:val="124142DB"/>
    <w:rsid w:val="124E771E"/>
    <w:rsid w:val="12ACD8EB"/>
    <w:rsid w:val="12EF1D65"/>
    <w:rsid w:val="1372D510"/>
    <w:rsid w:val="13750369"/>
    <w:rsid w:val="13BCAFF6"/>
    <w:rsid w:val="141E1D6C"/>
    <w:rsid w:val="14360006"/>
    <w:rsid w:val="145A2BD9"/>
    <w:rsid w:val="145C289B"/>
    <w:rsid w:val="14758785"/>
    <w:rsid w:val="14EB3C5D"/>
    <w:rsid w:val="154AEEC6"/>
    <w:rsid w:val="16199A1E"/>
    <w:rsid w:val="170B5C3B"/>
    <w:rsid w:val="17205E76"/>
    <w:rsid w:val="17316B08"/>
    <w:rsid w:val="1762D626"/>
    <w:rsid w:val="1770B602"/>
    <w:rsid w:val="17CBE341"/>
    <w:rsid w:val="18502294"/>
    <w:rsid w:val="188C4555"/>
    <w:rsid w:val="18D54D72"/>
    <w:rsid w:val="198DCFD3"/>
    <w:rsid w:val="199F555D"/>
    <w:rsid w:val="19B0195F"/>
    <w:rsid w:val="1AD07907"/>
    <w:rsid w:val="1AFA2AB8"/>
    <w:rsid w:val="1B17D90F"/>
    <w:rsid w:val="1B457092"/>
    <w:rsid w:val="1BB384DD"/>
    <w:rsid w:val="1BD543FE"/>
    <w:rsid w:val="1BF5A313"/>
    <w:rsid w:val="1C366C3F"/>
    <w:rsid w:val="1CD8FAF6"/>
    <w:rsid w:val="1D1A8D79"/>
    <w:rsid w:val="1D206277"/>
    <w:rsid w:val="1D6E95FD"/>
    <w:rsid w:val="1DC0D33B"/>
    <w:rsid w:val="1E020C47"/>
    <w:rsid w:val="1E502B79"/>
    <w:rsid w:val="1E880BDE"/>
    <w:rsid w:val="1F5D48CB"/>
    <w:rsid w:val="1FD6E2F6"/>
    <w:rsid w:val="200AE2B3"/>
    <w:rsid w:val="2059E911"/>
    <w:rsid w:val="20F141E8"/>
    <w:rsid w:val="212F7A36"/>
    <w:rsid w:val="21DC0D7D"/>
    <w:rsid w:val="21F39A71"/>
    <w:rsid w:val="224DA62C"/>
    <w:rsid w:val="23818AAD"/>
    <w:rsid w:val="2399F3DC"/>
    <w:rsid w:val="2420FCDE"/>
    <w:rsid w:val="24341DE6"/>
    <w:rsid w:val="2450386A"/>
    <w:rsid w:val="24D17B7F"/>
    <w:rsid w:val="2525CD50"/>
    <w:rsid w:val="25349E5E"/>
    <w:rsid w:val="25363E1E"/>
    <w:rsid w:val="255902B6"/>
    <w:rsid w:val="2593216A"/>
    <w:rsid w:val="25FBE467"/>
    <w:rsid w:val="25FF9B6D"/>
    <w:rsid w:val="2607F056"/>
    <w:rsid w:val="261C8AC0"/>
    <w:rsid w:val="26218BC9"/>
    <w:rsid w:val="26A98ABE"/>
    <w:rsid w:val="26F41E6D"/>
    <w:rsid w:val="270404F4"/>
    <w:rsid w:val="27192896"/>
    <w:rsid w:val="272F6543"/>
    <w:rsid w:val="275A18F5"/>
    <w:rsid w:val="28036351"/>
    <w:rsid w:val="2811288A"/>
    <w:rsid w:val="281563FC"/>
    <w:rsid w:val="284CC3B2"/>
    <w:rsid w:val="285E3649"/>
    <w:rsid w:val="2915DADC"/>
    <w:rsid w:val="29EBB901"/>
    <w:rsid w:val="29ECF3E5"/>
    <w:rsid w:val="2A4A05D7"/>
    <w:rsid w:val="2A7CF781"/>
    <w:rsid w:val="2AFB6927"/>
    <w:rsid w:val="2B99975C"/>
    <w:rsid w:val="2BDD539F"/>
    <w:rsid w:val="2BEDBF53"/>
    <w:rsid w:val="2C804F1C"/>
    <w:rsid w:val="2C986C2C"/>
    <w:rsid w:val="2D06AD0E"/>
    <w:rsid w:val="2D2FCE8F"/>
    <w:rsid w:val="2D6273D6"/>
    <w:rsid w:val="2D71C70E"/>
    <w:rsid w:val="2D76B2E2"/>
    <w:rsid w:val="2DCD1760"/>
    <w:rsid w:val="2E7D302C"/>
    <w:rsid w:val="2EC0D502"/>
    <w:rsid w:val="2F3F76DC"/>
    <w:rsid w:val="2F929E55"/>
    <w:rsid w:val="2F938E61"/>
    <w:rsid w:val="2FF410DE"/>
    <w:rsid w:val="302E9813"/>
    <w:rsid w:val="30AA0142"/>
    <w:rsid w:val="30B95F0F"/>
    <w:rsid w:val="30CD4AB4"/>
    <w:rsid w:val="3149E9D2"/>
    <w:rsid w:val="314B0C24"/>
    <w:rsid w:val="31DAB1AE"/>
    <w:rsid w:val="31F00F53"/>
    <w:rsid w:val="3224750A"/>
    <w:rsid w:val="325AAAAE"/>
    <w:rsid w:val="32A51A36"/>
    <w:rsid w:val="32D929BC"/>
    <w:rsid w:val="331FE96A"/>
    <w:rsid w:val="333D9D8E"/>
    <w:rsid w:val="334C0E37"/>
    <w:rsid w:val="3389881E"/>
    <w:rsid w:val="33BA72F0"/>
    <w:rsid w:val="33FAAD83"/>
    <w:rsid w:val="34CB9CAE"/>
    <w:rsid w:val="350D0E46"/>
    <w:rsid w:val="35232038"/>
    <w:rsid w:val="354A03FA"/>
    <w:rsid w:val="354BD033"/>
    <w:rsid w:val="3569B62C"/>
    <w:rsid w:val="35DCC4FF"/>
    <w:rsid w:val="35E95D6E"/>
    <w:rsid w:val="35F68242"/>
    <w:rsid w:val="364426B7"/>
    <w:rsid w:val="36745904"/>
    <w:rsid w:val="3699AD11"/>
    <w:rsid w:val="3709BBBE"/>
    <w:rsid w:val="371E94AF"/>
    <w:rsid w:val="372FA1AE"/>
    <w:rsid w:val="373CD7B9"/>
    <w:rsid w:val="3757809E"/>
    <w:rsid w:val="376E1923"/>
    <w:rsid w:val="37969F92"/>
    <w:rsid w:val="37FEDAE3"/>
    <w:rsid w:val="380AC230"/>
    <w:rsid w:val="3882F1CF"/>
    <w:rsid w:val="3A87888B"/>
    <w:rsid w:val="3A9144FC"/>
    <w:rsid w:val="3AB025C4"/>
    <w:rsid w:val="3B50F2EE"/>
    <w:rsid w:val="3C33011F"/>
    <w:rsid w:val="3CD4BC72"/>
    <w:rsid w:val="3CE9BFD6"/>
    <w:rsid w:val="3D24409A"/>
    <w:rsid w:val="3D66448E"/>
    <w:rsid w:val="3D8AA092"/>
    <w:rsid w:val="3DC4788D"/>
    <w:rsid w:val="3DD386DB"/>
    <w:rsid w:val="3E26CCC8"/>
    <w:rsid w:val="3E7E8A50"/>
    <w:rsid w:val="3EF10B19"/>
    <w:rsid w:val="3F18B832"/>
    <w:rsid w:val="3F460771"/>
    <w:rsid w:val="3FA5CDE3"/>
    <w:rsid w:val="3FD67ED7"/>
    <w:rsid w:val="402919D6"/>
    <w:rsid w:val="404D5657"/>
    <w:rsid w:val="40BB474E"/>
    <w:rsid w:val="41350BC3"/>
    <w:rsid w:val="41562B83"/>
    <w:rsid w:val="416D542C"/>
    <w:rsid w:val="416E61DF"/>
    <w:rsid w:val="41B4CE6D"/>
    <w:rsid w:val="41F29493"/>
    <w:rsid w:val="41FA3845"/>
    <w:rsid w:val="4267B164"/>
    <w:rsid w:val="42790D83"/>
    <w:rsid w:val="429365D6"/>
    <w:rsid w:val="42C9BCE5"/>
    <w:rsid w:val="42D27B6B"/>
    <w:rsid w:val="42E082C0"/>
    <w:rsid w:val="43674164"/>
    <w:rsid w:val="43945FE9"/>
    <w:rsid w:val="43B298D1"/>
    <w:rsid w:val="43BB9139"/>
    <w:rsid w:val="43DB286B"/>
    <w:rsid w:val="44025710"/>
    <w:rsid w:val="444094B4"/>
    <w:rsid w:val="4483CA24"/>
    <w:rsid w:val="450CABAA"/>
    <w:rsid w:val="450F2A65"/>
    <w:rsid w:val="453B1A56"/>
    <w:rsid w:val="4552B828"/>
    <w:rsid w:val="458309CD"/>
    <w:rsid w:val="4595DD06"/>
    <w:rsid w:val="45AC8B96"/>
    <w:rsid w:val="46123903"/>
    <w:rsid w:val="46200D27"/>
    <w:rsid w:val="46319262"/>
    <w:rsid w:val="4659BD95"/>
    <w:rsid w:val="4659DC4C"/>
    <w:rsid w:val="4693511F"/>
    <w:rsid w:val="477A5741"/>
    <w:rsid w:val="47D7DBB5"/>
    <w:rsid w:val="47E82AFF"/>
    <w:rsid w:val="485190F1"/>
    <w:rsid w:val="486CE1F0"/>
    <w:rsid w:val="488DB07F"/>
    <w:rsid w:val="496631C1"/>
    <w:rsid w:val="49932663"/>
    <w:rsid w:val="49A95C49"/>
    <w:rsid w:val="4A2DAC59"/>
    <w:rsid w:val="4A4C2FCF"/>
    <w:rsid w:val="4A8A104D"/>
    <w:rsid w:val="4ABD6C82"/>
    <w:rsid w:val="4AD636A5"/>
    <w:rsid w:val="4AE4064B"/>
    <w:rsid w:val="4B408DE5"/>
    <w:rsid w:val="4C61BDB3"/>
    <w:rsid w:val="4C9F67E3"/>
    <w:rsid w:val="4CC7D676"/>
    <w:rsid w:val="4CD707AB"/>
    <w:rsid w:val="4CFA22BE"/>
    <w:rsid w:val="4D00EBD7"/>
    <w:rsid w:val="4D63D0EE"/>
    <w:rsid w:val="4D7E7C60"/>
    <w:rsid w:val="4D90F7AA"/>
    <w:rsid w:val="4DA8A4CE"/>
    <w:rsid w:val="4DAA8AA4"/>
    <w:rsid w:val="4DF85342"/>
    <w:rsid w:val="4E0D9F35"/>
    <w:rsid w:val="4E6790EC"/>
    <w:rsid w:val="4EBD5908"/>
    <w:rsid w:val="4ED18E69"/>
    <w:rsid w:val="4EF34336"/>
    <w:rsid w:val="4F23C3DD"/>
    <w:rsid w:val="4F3F5484"/>
    <w:rsid w:val="4F785BCD"/>
    <w:rsid w:val="4F7E0586"/>
    <w:rsid w:val="4FF90F22"/>
    <w:rsid w:val="5022D9EE"/>
    <w:rsid w:val="50C48DF1"/>
    <w:rsid w:val="50DE0E38"/>
    <w:rsid w:val="51182157"/>
    <w:rsid w:val="511A33E6"/>
    <w:rsid w:val="51574DBA"/>
    <w:rsid w:val="51753824"/>
    <w:rsid w:val="51C7B672"/>
    <w:rsid w:val="539B1DA7"/>
    <w:rsid w:val="53C9503C"/>
    <w:rsid w:val="542D9F66"/>
    <w:rsid w:val="54494678"/>
    <w:rsid w:val="5460555F"/>
    <w:rsid w:val="54AF57EE"/>
    <w:rsid w:val="54B4CA00"/>
    <w:rsid w:val="55980AEC"/>
    <w:rsid w:val="55C11268"/>
    <w:rsid w:val="562B1709"/>
    <w:rsid w:val="5699A15A"/>
    <w:rsid w:val="56AECC58"/>
    <w:rsid w:val="57096097"/>
    <w:rsid w:val="5734FC09"/>
    <w:rsid w:val="5757C40A"/>
    <w:rsid w:val="575E2238"/>
    <w:rsid w:val="577D51DF"/>
    <w:rsid w:val="578FFA91"/>
    <w:rsid w:val="57C602CA"/>
    <w:rsid w:val="57E6BE0C"/>
    <w:rsid w:val="57EBC8F4"/>
    <w:rsid w:val="5804F837"/>
    <w:rsid w:val="5806D289"/>
    <w:rsid w:val="5811FA7F"/>
    <w:rsid w:val="581778EA"/>
    <w:rsid w:val="58F4B1E0"/>
    <w:rsid w:val="59B0729A"/>
    <w:rsid w:val="59D33ADF"/>
    <w:rsid w:val="5A4C5020"/>
    <w:rsid w:val="5A5E91A4"/>
    <w:rsid w:val="5AA0048B"/>
    <w:rsid w:val="5AB1A2F3"/>
    <w:rsid w:val="5AF4E6A6"/>
    <w:rsid w:val="5B42BD51"/>
    <w:rsid w:val="5C1FDF98"/>
    <w:rsid w:val="5CA13A11"/>
    <w:rsid w:val="5D44AA54"/>
    <w:rsid w:val="5D711A79"/>
    <w:rsid w:val="5D8C769B"/>
    <w:rsid w:val="5DA7D98D"/>
    <w:rsid w:val="5E3D6974"/>
    <w:rsid w:val="5E4B59C5"/>
    <w:rsid w:val="5F55F3FB"/>
    <w:rsid w:val="5FECE108"/>
    <w:rsid w:val="5FF5F8B4"/>
    <w:rsid w:val="601AB299"/>
    <w:rsid w:val="60B3FF8E"/>
    <w:rsid w:val="61160D75"/>
    <w:rsid w:val="61B045BF"/>
    <w:rsid w:val="6206DF27"/>
    <w:rsid w:val="6208352A"/>
    <w:rsid w:val="622BB19F"/>
    <w:rsid w:val="628934C1"/>
    <w:rsid w:val="628A60DA"/>
    <w:rsid w:val="63180D34"/>
    <w:rsid w:val="63A99B1C"/>
    <w:rsid w:val="63E0AAAB"/>
    <w:rsid w:val="6403A1D9"/>
    <w:rsid w:val="641DF270"/>
    <w:rsid w:val="645E3A78"/>
    <w:rsid w:val="646BF5E2"/>
    <w:rsid w:val="64A1C6A1"/>
    <w:rsid w:val="64AEDBF1"/>
    <w:rsid w:val="655615A1"/>
    <w:rsid w:val="65726E2E"/>
    <w:rsid w:val="65BD81FA"/>
    <w:rsid w:val="65EE08CD"/>
    <w:rsid w:val="66067CD5"/>
    <w:rsid w:val="66C542DF"/>
    <w:rsid w:val="66F84B39"/>
    <w:rsid w:val="673F3812"/>
    <w:rsid w:val="67DD5541"/>
    <w:rsid w:val="68150A5D"/>
    <w:rsid w:val="68461C92"/>
    <w:rsid w:val="696A3189"/>
    <w:rsid w:val="69D1E763"/>
    <w:rsid w:val="69D385C1"/>
    <w:rsid w:val="69EED8D7"/>
    <w:rsid w:val="6A82BBD7"/>
    <w:rsid w:val="6B1CB6AD"/>
    <w:rsid w:val="6C1B6D09"/>
    <w:rsid w:val="6C3E91AD"/>
    <w:rsid w:val="6CC577A6"/>
    <w:rsid w:val="6D576264"/>
    <w:rsid w:val="6DAB2EE8"/>
    <w:rsid w:val="6E148E41"/>
    <w:rsid w:val="6E1A2152"/>
    <w:rsid w:val="6E33784D"/>
    <w:rsid w:val="6F136898"/>
    <w:rsid w:val="6F23BBF9"/>
    <w:rsid w:val="6F707DDF"/>
    <w:rsid w:val="6FB37571"/>
    <w:rsid w:val="6FEF5D3B"/>
    <w:rsid w:val="702F7E13"/>
    <w:rsid w:val="709E2944"/>
    <w:rsid w:val="71FBF3D7"/>
    <w:rsid w:val="7255CFF5"/>
    <w:rsid w:val="727CA267"/>
    <w:rsid w:val="72DC0135"/>
    <w:rsid w:val="7307010B"/>
    <w:rsid w:val="73BB3CD0"/>
    <w:rsid w:val="73CF803C"/>
    <w:rsid w:val="740D8644"/>
    <w:rsid w:val="74122802"/>
    <w:rsid w:val="743AA228"/>
    <w:rsid w:val="74AF6A4A"/>
    <w:rsid w:val="74AFFB07"/>
    <w:rsid w:val="74D9D9CF"/>
    <w:rsid w:val="75E1B1CB"/>
    <w:rsid w:val="76069F0E"/>
    <w:rsid w:val="765044CC"/>
    <w:rsid w:val="7684327A"/>
    <w:rsid w:val="76884A33"/>
    <w:rsid w:val="76A6D082"/>
    <w:rsid w:val="76E59738"/>
    <w:rsid w:val="771D2DAA"/>
    <w:rsid w:val="77EBEA7E"/>
    <w:rsid w:val="77F4A0F2"/>
    <w:rsid w:val="785A03D5"/>
    <w:rsid w:val="78BFF0DE"/>
    <w:rsid w:val="78E87CAC"/>
    <w:rsid w:val="78FC5644"/>
    <w:rsid w:val="79867B9C"/>
    <w:rsid w:val="79B4712D"/>
    <w:rsid w:val="79B5D2F3"/>
    <w:rsid w:val="79D082F1"/>
    <w:rsid w:val="7B3DE5F3"/>
    <w:rsid w:val="7B45D0A2"/>
    <w:rsid w:val="7BCFB0A7"/>
    <w:rsid w:val="7CDFEC7D"/>
    <w:rsid w:val="7DC87063"/>
    <w:rsid w:val="7E055703"/>
    <w:rsid w:val="7E4DBDF9"/>
    <w:rsid w:val="7E969E97"/>
    <w:rsid w:val="7F15FF69"/>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05147F"/>
  <w15:chartTrackingRefBased/>
  <w15:docId w15:val="{1A93D3AB-38EC-48D5-9ED9-3DF4286D1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caption" w:semiHidden="1" w:unhideWhenUsed="1" w:qFormat="1"/>
    <w:lsdException w:name="Title" w:uiPriority="10" w:qFormat="1"/>
    <w:lsdException w:name="Hyperlink" w:uiPriority="99"/>
    <w:lsdException w:name="Strong" w:uiPriority="22"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817980"/>
    <w:pPr>
      <w:spacing w:after="480" w:line="480" w:lineRule="auto"/>
      <w:jc w:val="both"/>
    </w:pPr>
    <w:rPr>
      <w:rFonts w:ascii="Arial" w:hAnsi="Arial"/>
      <w:sz w:val="25"/>
      <w:szCs w:val="18"/>
      <w:lang w:eastAsia="en-US"/>
    </w:rPr>
  </w:style>
  <w:style w:type="paragraph" w:styleId="Heading1">
    <w:name w:val="heading 1"/>
    <w:basedOn w:val="Normal"/>
    <w:next w:val="Normal"/>
    <w:link w:val="Heading1Char"/>
    <w:uiPriority w:val="9"/>
    <w:qFormat/>
    <w:rsid w:val="004B15A9"/>
    <w:pPr>
      <w:keepNext/>
      <w:outlineLvl w:val="0"/>
    </w:pPr>
    <w:rPr>
      <w:rFonts w:cs="Arial"/>
      <w:b/>
      <w:bCs/>
      <w:caps/>
      <w:szCs w:val="32"/>
    </w:rPr>
  </w:style>
  <w:style w:type="paragraph" w:styleId="Heading2">
    <w:name w:val="heading 2"/>
    <w:basedOn w:val="Heading1"/>
    <w:next w:val="BodyText"/>
    <w:link w:val="Heading2Char"/>
    <w:uiPriority w:val="9"/>
    <w:qFormat/>
    <w:rsid w:val="004770BB"/>
    <w:pPr>
      <w:outlineLvl w:val="1"/>
    </w:pPr>
    <w:rPr>
      <w:b w:val="0"/>
      <w:bCs w:val="0"/>
      <w:iCs/>
      <w:caps w:val="0"/>
      <w:szCs w:val="28"/>
      <w:u w:val="single"/>
    </w:rPr>
  </w:style>
  <w:style w:type="paragraph" w:styleId="Heading3">
    <w:name w:val="heading 3"/>
    <w:basedOn w:val="Heading1"/>
    <w:next w:val="BodyText"/>
    <w:autoRedefine/>
    <w:qFormat/>
    <w:rsid w:val="00460C4D"/>
    <w:pPr>
      <w:outlineLvl w:val="2"/>
    </w:pPr>
    <w:rPr>
      <w:b w:val="0"/>
      <w:bCs w:val="0"/>
      <w:i/>
      <w:caps w:val="0"/>
      <w:sz w:val="24"/>
      <w:szCs w:val="26"/>
      <w:u w:val="single"/>
    </w:rPr>
  </w:style>
  <w:style w:type="paragraph" w:styleId="Heading4">
    <w:name w:val="heading 4"/>
    <w:basedOn w:val="Normal"/>
    <w:next w:val="Normal"/>
    <w:link w:val="Heading4Char"/>
    <w:semiHidden/>
    <w:unhideWhenUsed/>
    <w:qFormat/>
    <w:rsid w:val="004A626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8">
    <w:name w:val="heading 8"/>
    <w:basedOn w:val="Normal"/>
    <w:next w:val="Normal"/>
    <w:link w:val="Heading8Char"/>
    <w:semiHidden/>
    <w:unhideWhenUsed/>
    <w:qFormat/>
    <w:rsid w:val="00794A2D"/>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
    <w:name w:val="BodyText"/>
    <w:basedOn w:val="Normal"/>
    <w:rsid w:val="008851CD"/>
  </w:style>
  <w:style w:type="paragraph" w:customStyle="1" w:styleId="ParaLevel2">
    <w:name w:val="ParaLevel2"/>
    <w:basedOn w:val="BodyText"/>
    <w:pPr>
      <w:ind w:left="851"/>
    </w:pPr>
  </w:style>
  <w:style w:type="paragraph" w:styleId="Header">
    <w:name w:val="header"/>
    <w:basedOn w:val="Normal"/>
    <w:pPr>
      <w:tabs>
        <w:tab w:val="center" w:pos="4320"/>
        <w:tab w:val="right" w:pos="8640"/>
      </w:tabs>
    </w:pPr>
  </w:style>
  <w:style w:type="paragraph" w:customStyle="1" w:styleId="ParaLevel3">
    <w:name w:val="ParaLevel3"/>
    <w:basedOn w:val="ParaLevel2"/>
    <w:pPr>
      <w:ind w:left="1701"/>
    </w:pPr>
  </w:style>
  <w:style w:type="paragraph" w:customStyle="1" w:styleId="ListLevel1">
    <w:name w:val="ListLevel1"/>
    <w:basedOn w:val="BodyText"/>
    <w:autoRedefine/>
    <w:qFormat/>
    <w:rsid w:val="00804F56"/>
    <w:pPr>
      <w:numPr>
        <w:numId w:val="27"/>
      </w:numPr>
      <w:pBdr>
        <w:bottom w:val="nil"/>
      </w:pBdr>
    </w:pPr>
    <w:rPr>
      <w:rFonts w:eastAsia="Roboto" w:cs="Roboto"/>
      <w:sz w:val="24"/>
      <w:lang w:val="en-GB"/>
    </w:rPr>
  </w:style>
  <w:style w:type="paragraph" w:customStyle="1" w:styleId="ListLevel2">
    <w:name w:val="ListLevel2"/>
    <w:basedOn w:val="ListLevel1"/>
    <w:qFormat/>
    <w:rsid w:val="001C327E"/>
    <w:pPr>
      <w:numPr>
        <w:ilvl w:val="1"/>
      </w:numPr>
    </w:pPr>
  </w:style>
  <w:style w:type="paragraph" w:customStyle="1" w:styleId="ListLevel3">
    <w:name w:val="ListLevel3"/>
    <w:basedOn w:val="ListLevel1"/>
    <w:qFormat/>
    <w:rsid w:val="006F061C"/>
    <w:pPr>
      <w:numPr>
        <w:ilvl w:val="2"/>
      </w:numPr>
    </w:pPr>
  </w:style>
  <w:style w:type="paragraph" w:styleId="Date">
    <w:name w:val="Date"/>
    <w:basedOn w:val="Normal"/>
    <w:next w:val="Normal"/>
  </w:style>
  <w:style w:type="paragraph" w:customStyle="1" w:styleId="ListLevel4">
    <w:name w:val="ListLevel4"/>
    <w:basedOn w:val="ListLevel1"/>
    <w:qFormat/>
    <w:rsid w:val="006F061C"/>
    <w:pPr>
      <w:numPr>
        <w:ilvl w:val="3"/>
      </w:numPr>
    </w:pPr>
  </w:style>
  <w:style w:type="paragraph" w:customStyle="1" w:styleId="Tramlines">
    <w:name w:val="Tramlines"/>
    <w:basedOn w:val="Normal"/>
    <w:next w:val="BodyText"/>
    <w:pPr>
      <w:pBdr>
        <w:top w:val="single" w:sz="4" w:space="12" w:color="auto"/>
        <w:bottom w:val="single" w:sz="4" w:space="12" w:color="auto"/>
      </w:pBdr>
      <w:jc w:val="center"/>
    </w:pPr>
    <w:rPr>
      <w:b/>
    </w:rPr>
  </w:style>
  <w:style w:type="paragraph" w:customStyle="1" w:styleId="SignatureLine">
    <w:name w:val="SignatureLine"/>
    <w:basedOn w:val="BodyText"/>
    <w:pPr>
      <w:spacing w:after="0" w:line="240" w:lineRule="auto"/>
      <w:ind w:left="5670"/>
    </w:pPr>
  </w:style>
  <w:style w:type="paragraph" w:customStyle="1" w:styleId="Overline">
    <w:name w:val="Overline"/>
    <w:basedOn w:val="SignatureLine"/>
    <w:next w:val="SignatureLine"/>
    <w:pPr>
      <w:tabs>
        <w:tab w:val="right" w:leader="underscore" w:pos="8789"/>
      </w:tabs>
      <w:ind w:left="5585"/>
    </w:pPr>
  </w:style>
  <w:style w:type="paragraph" w:customStyle="1" w:styleId="PartyLine">
    <w:name w:val="PartyLine"/>
    <w:basedOn w:val="Normal"/>
    <w:rsid w:val="00C46EF1"/>
    <w:pPr>
      <w:tabs>
        <w:tab w:val="right" w:pos="8789"/>
      </w:tabs>
      <w:spacing w:after="120"/>
    </w:pPr>
  </w:style>
  <w:style w:type="paragraph" w:customStyle="1" w:styleId="abracket">
    <w:name w:val="abracket"/>
    <w:basedOn w:val="BodyText"/>
    <w:pPr>
      <w:numPr>
        <w:numId w:val="20"/>
      </w:numPr>
    </w:pPr>
  </w:style>
  <w:style w:type="paragraph" w:customStyle="1" w:styleId="onebracket">
    <w:name w:val="onebracket"/>
    <w:basedOn w:val="BodyText"/>
    <w:pPr>
      <w:numPr>
        <w:numId w:val="25"/>
      </w:numPr>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ParaLevel4">
    <w:name w:val="ParaLevel4"/>
    <w:basedOn w:val="ParaLevel3"/>
    <w:rsid w:val="009B0F23"/>
    <w:pPr>
      <w:ind w:left="2552"/>
    </w:pPr>
  </w:style>
  <w:style w:type="paragraph" w:styleId="FootnoteText">
    <w:name w:val="footnote text"/>
    <w:basedOn w:val="Normal"/>
    <w:link w:val="FootnoteTextChar"/>
    <w:autoRedefine/>
    <w:uiPriority w:val="99"/>
    <w:rsid w:val="007A3556"/>
    <w:pPr>
      <w:tabs>
        <w:tab w:val="left" w:pos="284"/>
      </w:tabs>
      <w:spacing w:after="0" w:line="240" w:lineRule="auto"/>
    </w:pPr>
    <w:rPr>
      <w:sz w:val="20"/>
      <w:szCs w:val="20"/>
    </w:rPr>
  </w:style>
  <w:style w:type="character" w:customStyle="1" w:styleId="FootnoteTextChar">
    <w:name w:val="Footnote Text Char"/>
    <w:link w:val="FootnoteText"/>
    <w:uiPriority w:val="99"/>
    <w:rsid w:val="007A3556"/>
    <w:rPr>
      <w:rFonts w:ascii="Arial" w:hAnsi="Arial"/>
      <w:lang w:eastAsia="en-US"/>
    </w:rPr>
  </w:style>
  <w:style w:type="character" w:styleId="FootnoteReference">
    <w:name w:val="footnote reference"/>
    <w:rsid w:val="0025601B"/>
    <w:rPr>
      <w:vertAlign w:val="superscript"/>
    </w:rPr>
  </w:style>
  <w:style w:type="paragraph" w:customStyle="1" w:styleId="MSQuote">
    <w:name w:val="MS Quote"/>
    <w:basedOn w:val="ListLevel1"/>
    <w:qFormat/>
    <w:rsid w:val="0067260F"/>
    <w:pPr>
      <w:widowControl w:val="0"/>
      <w:numPr>
        <w:numId w:val="0"/>
      </w:numPr>
      <w:tabs>
        <w:tab w:val="left" w:pos="2438"/>
        <w:tab w:val="left" w:pos="3005"/>
      </w:tabs>
      <w:spacing w:line="240" w:lineRule="auto"/>
      <w:ind w:left="1871"/>
    </w:pPr>
    <w:rPr>
      <w:i/>
      <w:iCs/>
    </w:rPr>
  </w:style>
  <w:style w:type="paragraph" w:styleId="Title">
    <w:name w:val="Title"/>
    <w:link w:val="TitleChar"/>
    <w:uiPriority w:val="10"/>
    <w:qFormat/>
    <w:rsid w:val="001C327E"/>
    <w:pPr>
      <w:widowControl w:val="0"/>
    </w:pPr>
    <w:rPr>
      <w:rFonts w:ascii="Arial" w:hAnsi="Arial"/>
      <w:sz w:val="25"/>
      <w:lang w:eastAsia="en-US"/>
    </w:rPr>
  </w:style>
  <w:style w:type="character" w:customStyle="1" w:styleId="TitleChar">
    <w:name w:val="Title Char"/>
    <w:link w:val="Title"/>
    <w:rsid w:val="001C327E"/>
    <w:rPr>
      <w:rFonts w:ascii="Arial" w:hAnsi="Arial"/>
      <w:sz w:val="25"/>
      <w:lang w:eastAsia="en-US"/>
    </w:rPr>
  </w:style>
  <w:style w:type="paragraph" w:customStyle="1" w:styleId="SingleLineSpacing">
    <w:name w:val="Single Line Spacing"/>
    <w:basedOn w:val="Title"/>
    <w:rsid w:val="001C327E"/>
  </w:style>
  <w:style w:type="paragraph" w:customStyle="1" w:styleId="StyleTitleBoldCenteredLinespacing15lines">
    <w:name w:val="Style Title + Bold Centered Line spacing:  15 lines"/>
    <w:basedOn w:val="Title"/>
    <w:rsid w:val="001C327E"/>
    <w:pPr>
      <w:spacing w:line="360" w:lineRule="auto"/>
      <w:jc w:val="center"/>
    </w:pPr>
    <w:rPr>
      <w:b/>
      <w:bCs/>
    </w:rPr>
  </w:style>
  <w:style w:type="paragraph" w:customStyle="1" w:styleId="StyleTitleBold">
    <w:name w:val="Style Title + Bold"/>
    <w:basedOn w:val="Title"/>
    <w:rsid w:val="008851CD"/>
    <w:rPr>
      <w:b/>
      <w:bCs/>
    </w:rPr>
  </w:style>
  <w:style w:type="character" w:customStyle="1" w:styleId="Heading8Char">
    <w:name w:val="Heading 8 Char"/>
    <w:basedOn w:val="DefaultParagraphFont"/>
    <w:link w:val="Heading8"/>
    <w:semiHidden/>
    <w:rsid w:val="00794A2D"/>
    <w:rPr>
      <w:rFonts w:asciiTheme="majorHAnsi" w:eastAsiaTheme="majorEastAsia" w:hAnsiTheme="majorHAnsi" w:cstheme="majorBidi"/>
      <w:color w:val="272727" w:themeColor="text1" w:themeTint="D8"/>
      <w:sz w:val="21"/>
      <w:szCs w:val="21"/>
      <w:lang w:eastAsia="en-US"/>
    </w:rPr>
  </w:style>
  <w:style w:type="paragraph" w:styleId="ListParagraph">
    <w:name w:val="List Paragraph"/>
    <w:basedOn w:val="Normal"/>
    <w:uiPriority w:val="34"/>
    <w:qFormat/>
    <w:rsid w:val="00794A2D"/>
    <w:pPr>
      <w:spacing w:after="0" w:line="240" w:lineRule="auto"/>
      <w:ind w:left="720"/>
      <w:jc w:val="left"/>
    </w:pPr>
    <w:rPr>
      <w:rFonts w:ascii="Times New Roman" w:hAnsi="Times New Roman"/>
      <w:sz w:val="20"/>
      <w:szCs w:val="20"/>
      <w:lang w:val="en-US"/>
    </w:rPr>
  </w:style>
  <w:style w:type="character" w:styleId="Hyperlink">
    <w:name w:val="Hyperlink"/>
    <w:uiPriority w:val="99"/>
    <w:rsid w:val="006D080B"/>
    <w:rPr>
      <w:rFonts w:ascii="Arial" w:hAnsi="Arial"/>
      <w:caps w:val="0"/>
      <w:smallCaps w:val="0"/>
      <w:color w:val="auto"/>
      <w:sz w:val="25"/>
      <w:u w:val="single"/>
    </w:rPr>
  </w:style>
  <w:style w:type="paragraph" w:customStyle="1" w:styleId="Default">
    <w:name w:val="Default"/>
    <w:rsid w:val="00794A2D"/>
    <w:pPr>
      <w:autoSpaceDE w:val="0"/>
      <w:autoSpaceDN w:val="0"/>
      <w:adjustRightInd w:val="0"/>
    </w:pPr>
    <w:rPr>
      <w:rFonts w:ascii="Calibri" w:eastAsia="Calibri" w:hAnsi="Calibri" w:cs="Calibri"/>
      <w:color w:val="000000"/>
      <w:sz w:val="24"/>
      <w:szCs w:val="24"/>
      <w:lang w:eastAsia="en-US"/>
    </w:rPr>
  </w:style>
  <w:style w:type="paragraph" w:customStyle="1" w:styleId="InsideAddress">
    <w:name w:val="Inside Address"/>
    <w:basedOn w:val="Normal"/>
    <w:rsid w:val="00794A2D"/>
    <w:pPr>
      <w:spacing w:after="0" w:line="220" w:lineRule="atLeast"/>
    </w:pPr>
    <w:rPr>
      <w:spacing w:val="-5"/>
      <w:sz w:val="20"/>
      <w:szCs w:val="20"/>
      <w:lang w:val="en-US"/>
    </w:rPr>
  </w:style>
  <w:style w:type="character" w:styleId="UnresolvedMention">
    <w:name w:val="Unresolved Mention"/>
    <w:basedOn w:val="DefaultParagraphFont"/>
    <w:uiPriority w:val="99"/>
    <w:semiHidden/>
    <w:unhideWhenUsed/>
    <w:rsid w:val="00794A2D"/>
    <w:rPr>
      <w:color w:val="605E5C"/>
      <w:shd w:val="clear" w:color="auto" w:fill="E1DFDD"/>
    </w:rPr>
  </w:style>
  <w:style w:type="paragraph" w:styleId="TOC1">
    <w:name w:val="toc 1"/>
    <w:basedOn w:val="Normal"/>
    <w:next w:val="Normal"/>
    <w:autoRedefine/>
    <w:uiPriority w:val="39"/>
    <w:rsid w:val="00EC74D4"/>
    <w:pPr>
      <w:spacing w:after="100"/>
    </w:pPr>
  </w:style>
  <w:style w:type="character" w:styleId="Emphasis">
    <w:name w:val="Emphasis"/>
    <w:basedOn w:val="DefaultParagraphFont"/>
    <w:rsid w:val="004770BB"/>
    <w:rPr>
      <w:i/>
      <w:iCs/>
    </w:rPr>
  </w:style>
  <w:style w:type="paragraph" w:styleId="Subtitle">
    <w:name w:val="Subtitle"/>
    <w:basedOn w:val="Normal"/>
    <w:next w:val="Normal"/>
    <w:link w:val="SubtitleChar"/>
    <w:rsid w:val="004770B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4770BB"/>
    <w:rPr>
      <w:rFonts w:asciiTheme="minorHAnsi" w:eastAsiaTheme="minorEastAsia" w:hAnsiTheme="minorHAnsi" w:cstheme="minorBidi"/>
      <w:color w:val="5A5A5A" w:themeColor="text1" w:themeTint="A5"/>
      <w:spacing w:val="15"/>
      <w:sz w:val="22"/>
      <w:szCs w:val="22"/>
      <w:lang w:eastAsia="en-US"/>
    </w:rPr>
  </w:style>
  <w:style w:type="paragraph" w:styleId="TOC2">
    <w:name w:val="toc 2"/>
    <w:basedOn w:val="Normal"/>
    <w:next w:val="Normal"/>
    <w:autoRedefine/>
    <w:uiPriority w:val="39"/>
    <w:rsid w:val="0029509E"/>
    <w:pPr>
      <w:spacing w:after="100"/>
      <w:ind w:left="250"/>
    </w:pPr>
  </w:style>
  <w:style w:type="paragraph" w:customStyle="1" w:styleId="Body">
    <w:name w:val="Body"/>
    <w:rsid w:val="00171A21"/>
    <w:pPr>
      <w:pBdr>
        <w:top w:val="nil"/>
        <w:left w:val="nil"/>
        <w:bottom w:val="nil"/>
        <w:right w:val="nil"/>
        <w:between w:val="nil"/>
        <w:bar w:val="nil"/>
      </w:pBdr>
      <w:spacing w:after="200" w:line="360" w:lineRule="auto"/>
      <w:jc w:val="both"/>
    </w:pPr>
    <w:rPr>
      <w:rFonts w:ascii="Century Gothic" w:eastAsia="Arial Unicode MS" w:hAnsi="Century Gothic" w:cs="Arial Unicode MS"/>
      <w:color w:val="000000"/>
      <w:sz w:val="18"/>
      <w:szCs w:val="18"/>
      <w:u w:color="000000"/>
      <w:bdr w:val="nil"/>
      <w:lang w:val="en-US"/>
      <w14:textOutline w14:w="0" w14:cap="flat" w14:cmpd="sng" w14:algn="ctr">
        <w14:noFill/>
        <w14:prstDash w14:val="solid"/>
        <w14:bevel/>
      </w14:textOutline>
    </w:rPr>
  </w:style>
  <w:style w:type="paragraph" w:customStyle="1" w:styleId="LegalList1">
    <w:name w:val="Legal_List1"/>
    <w:basedOn w:val="LegalHeading1"/>
    <w:rsid w:val="00101BCD"/>
    <w:pPr>
      <w:keepNext w:val="0"/>
      <w:spacing w:before="0" w:after="300"/>
    </w:pPr>
    <w:rPr>
      <w:b w:val="0"/>
      <w:caps w:val="0"/>
    </w:rPr>
  </w:style>
  <w:style w:type="paragraph" w:customStyle="1" w:styleId="LegalHeading1">
    <w:name w:val="Legal_Heading1"/>
    <w:basedOn w:val="Normal"/>
    <w:next w:val="Normal"/>
    <w:rsid w:val="00101BCD"/>
    <w:pPr>
      <w:keepNext/>
      <w:numPr>
        <w:numId w:val="38"/>
      </w:numPr>
      <w:suppressAutoHyphens/>
      <w:spacing w:before="360" w:after="120"/>
      <w:outlineLvl w:val="0"/>
    </w:pPr>
    <w:rPr>
      <w:b/>
      <w:caps/>
      <w:sz w:val="24"/>
      <w:szCs w:val="24"/>
      <w:lang w:val="en-GB" w:eastAsia="en-GB"/>
    </w:rPr>
  </w:style>
  <w:style w:type="paragraph" w:customStyle="1" w:styleId="LegalHeading2">
    <w:name w:val="Legal_Heading2"/>
    <w:basedOn w:val="Normal"/>
    <w:next w:val="Normal"/>
    <w:rsid w:val="00101BCD"/>
    <w:pPr>
      <w:keepNext/>
      <w:numPr>
        <w:ilvl w:val="1"/>
        <w:numId w:val="38"/>
      </w:numPr>
      <w:tabs>
        <w:tab w:val="left" w:pos="3402"/>
        <w:tab w:val="left" w:pos="3969"/>
      </w:tabs>
      <w:suppressAutoHyphens/>
      <w:spacing w:after="120"/>
      <w:outlineLvl w:val="1"/>
    </w:pPr>
    <w:rPr>
      <w:b/>
      <w:sz w:val="24"/>
      <w:szCs w:val="24"/>
      <w:lang w:val="en-GB" w:eastAsia="en-GB"/>
    </w:rPr>
  </w:style>
  <w:style w:type="paragraph" w:customStyle="1" w:styleId="LegalHeading3">
    <w:name w:val="Legal_Heading3"/>
    <w:basedOn w:val="Normal"/>
    <w:next w:val="Normal"/>
    <w:rsid w:val="00101BCD"/>
    <w:pPr>
      <w:keepNext/>
      <w:numPr>
        <w:ilvl w:val="2"/>
        <w:numId w:val="38"/>
      </w:numPr>
      <w:tabs>
        <w:tab w:val="left" w:pos="3969"/>
        <w:tab w:val="left" w:pos="4536"/>
      </w:tabs>
      <w:suppressAutoHyphens/>
      <w:spacing w:after="120"/>
      <w:outlineLvl w:val="2"/>
    </w:pPr>
    <w:rPr>
      <w:b/>
      <w:sz w:val="24"/>
      <w:szCs w:val="24"/>
      <w:lang w:val="en-GB" w:eastAsia="en-GB"/>
    </w:rPr>
  </w:style>
  <w:style w:type="paragraph" w:customStyle="1" w:styleId="LegalHeading4">
    <w:name w:val="Legal_Heading4"/>
    <w:basedOn w:val="Normal"/>
    <w:next w:val="Normal"/>
    <w:rsid w:val="00101BCD"/>
    <w:pPr>
      <w:keepNext/>
      <w:numPr>
        <w:ilvl w:val="3"/>
        <w:numId w:val="38"/>
      </w:numPr>
      <w:suppressAutoHyphens/>
      <w:spacing w:after="120"/>
      <w:outlineLvl w:val="3"/>
    </w:pPr>
    <w:rPr>
      <w:b/>
      <w:sz w:val="24"/>
      <w:szCs w:val="24"/>
      <w:lang w:val="en-GB" w:eastAsia="en-GB"/>
    </w:rPr>
  </w:style>
  <w:style w:type="paragraph" w:customStyle="1" w:styleId="LegalHeading5">
    <w:name w:val="Legal_Heading5"/>
    <w:basedOn w:val="Normal"/>
    <w:next w:val="Normal"/>
    <w:rsid w:val="00101BCD"/>
    <w:pPr>
      <w:keepNext/>
      <w:numPr>
        <w:ilvl w:val="4"/>
        <w:numId w:val="38"/>
      </w:numPr>
      <w:suppressAutoHyphens/>
      <w:spacing w:after="120"/>
      <w:outlineLvl w:val="4"/>
    </w:pPr>
    <w:rPr>
      <w:b/>
      <w:sz w:val="24"/>
      <w:szCs w:val="24"/>
      <w:lang w:val="en-GB" w:eastAsia="en-GB"/>
    </w:rPr>
  </w:style>
  <w:style w:type="paragraph" w:customStyle="1" w:styleId="LegalLitPartyName">
    <w:name w:val="Legal_LitPartyName"/>
    <w:basedOn w:val="Normal"/>
    <w:next w:val="Normal"/>
    <w:uiPriority w:val="8"/>
    <w:rsid w:val="00101BCD"/>
    <w:pPr>
      <w:tabs>
        <w:tab w:val="right" w:pos="8789"/>
      </w:tabs>
      <w:suppressAutoHyphens/>
      <w:spacing w:after="240" w:line="240" w:lineRule="auto"/>
    </w:pPr>
    <w:rPr>
      <w:b/>
      <w:sz w:val="24"/>
      <w:szCs w:val="24"/>
      <w:lang w:val="en-GB" w:eastAsia="en-GB"/>
    </w:rPr>
  </w:style>
  <w:style w:type="paragraph" w:customStyle="1" w:styleId="LegalHeading6">
    <w:name w:val="Legal_Heading6"/>
    <w:basedOn w:val="Normal"/>
    <w:next w:val="Normal"/>
    <w:uiPriority w:val="1"/>
    <w:rsid w:val="00101BCD"/>
    <w:pPr>
      <w:keepNext/>
      <w:numPr>
        <w:ilvl w:val="5"/>
        <w:numId w:val="38"/>
      </w:numPr>
      <w:suppressAutoHyphens/>
      <w:spacing w:after="120"/>
      <w:outlineLvl w:val="5"/>
    </w:pPr>
    <w:rPr>
      <w:b/>
      <w:sz w:val="24"/>
      <w:szCs w:val="24"/>
      <w:lang w:val="en-GB" w:eastAsia="en-GB"/>
    </w:rPr>
  </w:style>
  <w:style w:type="paragraph" w:customStyle="1" w:styleId="LegalHeading7">
    <w:name w:val="Legal_Heading7"/>
    <w:basedOn w:val="Normal"/>
    <w:next w:val="Normal"/>
    <w:uiPriority w:val="1"/>
    <w:rsid w:val="00101BCD"/>
    <w:pPr>
      <w:keepNext/>
      <w:numPr>
        <w:ilvl w:val="6"/>
        <w:numId w:val="38"/>
      </w:numPr>
      <w:suppressAutoHyphens/>
      <w:spacing w:after="120"/>
      <w:outlineLvl w:val="6"/>
    </w:pPr>
    <w:rPr>
      <w:b/>
      <w:sz w:val="24"/>
      <w:szCs w:val="24"/>
      <w:lang w:val="en-GB" w:eastAsia="en-GB"/>
    </w:rPr>
  </w:style>
  <w:style w:type="paragraph" w:customStyle="1" w:styleId="LegalHeading8">
    <w:name w:val="Legal_Heading8"/>
    <w:basedOn w:val="Normal"/>
    <w:next w:val="Normal"/>
    <w:uiPriority w:val="1"/>
    <w:rsid w:val="00101BCD"/>
    <w:pPr>
      <w:keepNext/>
      <w:numPr>
        <w:ilvl w:val="7"/>
        <w:numId w:val="38"/>
      </w:numPr>
      <w:suppressAutoHyphens/>
      <w:spacing w:after="120"/>
      <w:outlineLvl w:val="7"/>
    </w:pPr>
    <w:rPr>
      <w:b/>
      <w:sz w:val="24"/>
      <w:szCs w:val="24"/>
      <w:lang w:val="en-GB" w:eastAsia="en-GB"/>
    </w:rPr>
  </w:style>
  <w:style w:type="paragraph" w:styleId="ListNumber">
    <w:name w:val="List Number"/>
    <w:basedOn w:val="Normal"/>
    <w:rsid w:val="00101BCD"/>
    <w:pPr>
      <w:suppressAutoHyphens/>
      <w:spacing w:after="240"/>
    </w:pPr>
    <w:rPr>
      <w:sz w:val="24"/>
      <w:szCs w:val="24"/>
      <w:lang w:val="en-GB" w:eastAsia="en-GB"/>
    </w:rPr>
  </w:style>
  <w:style w:type="paragraph" w:styleId="CommentText">
    <w:name w:val="annotation text"/>
    <w:basedOn w:val="Normal"/>
    <w:link w:val="CommentTextChar"/>
    <w:pPr>
      <w:spacing w:line="240" w:lineRule="auto"/>
    </w:pPr>
    <w:rPr>
      <w:sz w:val="20"/>
      <w:szCs w:val="20"/>
    </w:rPr>
  </w:style>
  <w:style w:type="character" w:customStyle="1" w:styleId="CommentTextChar">
    <w:name w:val="Comment Text Char"/>
    <w:basedOn w:val="DefaultParagraphFont"/>
    <w:link w:val="CommentText"/>
    <w:rPr>
      <w:rFonts w:ascii="Arial" w:hAnsi="Arial"/>
      <w:lang w:eastAsia="en-US"/>
    </w:rPr>
  </w:style>
  <w:style w:type="character" w:styleId="CommentReference">
    <w:name w:val="annotation reference"/>
    <w:basedOn w:val="DefaultParagraphFont"/>
    <w:rPr>
      <w:sz w:val="16"/>
      <w:szCs w:val="16"/>
    </w:rPr>
  </w:style>
  <w:style w:type="paragraph" w:styleId="Revision">
    <w:name w:val="Revision"/>
    <w:hidden/>
    <w:uiPriority w:val="99"/>
    <w:semiHidden/>
    <w:rsid w:val="0005613B"/>
    <w:rPr>
      <w:rFonts w:ascii="Arial" w:hAnsi="Arial"/>
      <w:sz w:val="25"/>
      <w:szCs w:val="18"/>
      <w:lang w:eastAsia="en-US"/>
    </w:rPr>
  </w:style>
  <w:style w:type="paragraph" w:styleId="CommentSubject">
    <w:name w:val="annotation subject"/>
    <w:basedOn w:val="CommentText"/>
    <w:next w:val="CommentText"/>
    <w:link w:val="CommentSubjectChar"/>
    <w:rsid w:val="00885AF7"/>
    <w:rPr>
      <w:b/>
      <w:bCs/>
    </w:rPr>
  </w:style>
  <w:style w:type="character" w:customStyle="1" w:styleId="CommentSubjectChar">
    <w:name w:val="Comment Subject Char"/>
    <w:basedOn w:val="CommentTextChar"/>
    <w:link w:val="CommentSubject"/>
    <w:rsid w:val="00885AF7"/>
    <w:rPr>
      <w:rFonts w:ascii="Arial" w:hAnsi="Arial"/>
      <w:b/>
      <w:bCs/>
      <w:lang w:eastAsia="en-US"/>
    </w:rPr>
  </w:style>
  <w:style w:type="paragraph" w:styleId="NormalWeb">
    <w:name w:val="Normal (Web)"/>
    <w:basedOn w:val="Normal"/>
    <w:uiPriority w:val="99"/>
    <w:unhideWhenUsed/>
    <w:rsid w:val="00B23EB8"/>
    <w:pPr>
      <w:spacing w:before="100" w:beforeAutospacing="1" w:after="100" w:afterAutospacing="1" w:line="240" w:lineRule="auto"/>
      <w:jc w:val="left"/>
    </w:pPr>
    <w:rPr>
      <w:rFonts w:ascii="Times New Roman" w:hAnsi="Times New Roman"/>
      <w:sz w:val="24"/>
      <w:szCs w:val="24"/>
      <w:lang w:eastAsia="en-GB"/>
    </w:rPr>
  </w:style>
  <w:style w:type="character" w:customStyle="1" w:styleId="Heading4Char">
    <w:name w:val="Heading 4 Char"/>
    <w:basedOn w:val="DefaultParagraphFont"/>
    <w:link w:val="Heading4"/>
    <w:semiHidden/>
    <w:rsid w:val="004A6265"/>
    <w:rPr>
      <w:rFonts w:asciiTheme="majorHAnsi" w:eastAsiaTheme="majorEastAsia" w:hAnsiTheme="majorHAnsi" w:cstheme="majorBidi"/>
      <w:i/>
      <w:iCs/>
      <w:color w:val="2F5496" w:themeColor="accent1" w:themeShade="BF"/>
      <w:sz w:val="25"/>
      <w:szCs w:val="18"/>
      <w:lang w:eastAsia="en-US"/>
    </w:rPr>
  </w:style>
  <w:style w:type="paragraph" w:customStyle="1" w:styleId="ql-rendered-ordered-list">
    <w:name w:val="ql-rendered-ordered-list"/>
    <w:basedOn w:val="Normal"/>
    <w:rsid w:val="00965FD1"/>
    <w:pPr>
      <w:spacing w:before="100" w:beforeAutospacing="1" w:after="100" w:afterAutospacing="1" w:line="240" w:lineRule="auto"/>
      <w:jc w:val="left"/>
    </w:pPr>
    <w:rPr>
      <w:rFonts w:ascii="Times New Roman" w:hAnsi="Times New Roman"/>
      <w:sz w:val="24"/>
      <w:szCs w:val="24"/>
      <w:lang w:eastAsia="en-GB"/>
    </w:rPr>
  </w:style>
  <w:style w:type="character" w:customStyle="1" w:styleId="Heading2Char">
    <w:name w:val="Heading 2 Char"/>
    <w:basedOn w:val="DefaultParagraphFont"/>
    <w:link w:val="Heading2"/>
    <w:uiPriority w:val="9"/>
    <w:rsid w:val="00BF01B6"/>
    <w:rPr>
      <w:rFonts w:ascii="Arial" w:hAnsi="Arial" w:cs="Arial"/>
      <w:iCs/>
      <w:sz w:val="25"/>
      <w:szCs w:val="28"/>
      <w:u w:val="single"/>
      <w:lang w:eastAsia="en-US"/>
    </w:rPr>
  </w:style>
  <w:style w:type="character" w:customStyle="1" w:styleId="Heading1Char">
    <w:name w:val="Heading 1 Char"/>
    <w:basedOn w:val="DefaultParagraphFont"/>
    <w:link w:val="Heading1"/>
    <w:uiPriority w:val="9"/>
    <w:rsid w:val="004C5C55"/>
    <w:rPr>
      <w:rFonts w:ascii="Arial" w:hAnsi="Arial" w:cs="Arial"/>
      <w:b/>
      <w:bCs/>
      <w:caps/>
      <w:sz w:val="25"/>
      <w:szCs w:val="32"/>
      <w:lang w:eastAsia="en-US"/>
    </w:rPr>
  </w:style>
  <w:style w:type="character" w:styleId="Strong">
    <w:name w:val="Strong"/>
    <w:basedOn w:val="DefaultParagraphFont"/>
    <w:uiPriority w:val="22"/>
    <w:qFormat/>
    <w:rsid w:val="004C5C55"/>
    <w:rPr>
      <w:b/>
      <w:bCs/>
    </w:rPr>
  </w:style>
  <w:style w:type="paragraph" w:customStyle="1" w:styleId="ql-rendered-bullet-list">
    <w:name w:val="ql-rendered-bullet-list"/>
    <w:basedOn w:val="Normal"/>
    <w:rsid w:val="004C5C55"/>
    <w:pPr>
      <w:spacing w:before="100" w:beforeAutospacing="1" w:after="100" w:afterAutospacing="1" w:line="240" w:lineRule="auto"/>
      <w:jc w:val="left"/>
    </w:pPr>
    <w:rPr>
      <w:rFonts w:ascii="Times New Roman" w:hAnsi="Times New Roman"/>
      <w:sz w:val="24"/>
      <w:szCs w:val="24"/>
      <w:lang w:eastAsia="en-GB"/>
    </w:rPr>
  </w:style>
  <w:style w:type="paragraph" w:styleId="Quote">
    <w:name w:val="Quote"/>
    <w:basedOn w:val="Normal"/>
    <w:next w:val="Normal"/>
    <w:link w:val="QuoteChar"/>
    <w:autoRedefine/>
    <w:uiPriority w:val="29"/>
    <w:qFormat/>
    <w:rsid w:val="00F27C7C"/>
    <w:pPr>
      <w:spacing w:before="200" w:after="160"/>
      <w:ind w:left="1440" w:right="864"/>
    </w:pPr>
    <w:rPr>
      <w:i/>
      <w:iCs/>
      <w:color w:val="404040" w:themeColor="text1" w:themeTint="BF"/>
      <w:sz w:val="20"/>
    </w:rPr>
  </w:style>
  <w:style w:type="character" w:customStyle="1" w:styleId="QuoteChar">
    <w:name w:val="Quote Char"/>
    <w:basedOn w:val="DefaultParagraphFont"/>
    <w:link w:val="Quote"/>
    <w:uiPriority w:val="29"/>
    <w:rsid w:val="00F27C7C"/>
    <w:rPr>
      <w:rFonts w:ascii="Arial" w:hAnsi="Arial"/>
      <w:i/>
      <w:iCs/>
      <w:color w:val="404040" w:themeColor="text1" w:themeTint="BF"/>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66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een\Documents\Tutoring\Pleading%20Template%20US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A8838F-E945-4CBC-9973-C9107FF76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Pleading Template USE</Template>
  <TotalTime>33</TotalTime>
  <Pages>31</Pages>
  <Words>5496</Words>
  <Characters>32038</Characters>
  <Application>Microsoft Office Word</Application>
  <DocSecurity>0</DocSecurity>
  <Lines>611</Lines>
  <Paragraphs>139</Paragraphs>
  <ScaleCrop>false</ScaleCrop>
  <HeadingPairs>
    <vt:vector size="2" baseType="variant">
      <vt:variant>
        <vt:lpstr>Title</vt:lpstr>
      </vt:variant>
      <vt:variant>
        <vt:i4>1</vt:i4>
      </vt:variant>
    </vt:vector>
  </HeadingPairs>
  <TitlesOfParts>
    <vt:vector size="1" baseType="lpstr">
      <vt:lpstr>Normal</vt:lpstr>
    </vt:vector>
  </TitlesOfParts>
  <Company>Chambers</Company>
  <LinksUpToDate>false</LinksUpToDate>
  <CharactersWithSpaces>37631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c:title>
  <dc:subject/>
  <dc:creator>colleen smanjak</dc:creator>
  <cp:keywords/>
  <cp:lastModifiedBy>Lee Anne Gaertner</cp:lastModifiedBy>
  <cp:revision>9</cp:revision>
  <cp:lastPrinted>1900-01-01T08:00:00Z</cp:lastPrinted>
  <dcterms:created xsi:type="dcterms:W3CDTF">2026-02-24T10:52:00Z</dcterms:created>
  <dcterms:modified xsi:type="dcterms:W3CDTF">2026-03-06T14:36:00Z</dcterms:modified>
</cp:coreProperties>
</file>